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8847" w14:textId="77777777" w:rsidR="00F65D01" w:rsidRDefault="00F65D01" w:rsidP="009B3291">
      <w:pPr>
        <w:pStyle w:val="p1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Dear Sir/Madam</w:t>
      </w:r>
    </w:p>
    <w:p w14:paraId="7C3B2939" w14:textId="77777777" w:rsidR="00F65D01" w:rsidRDefault="00F65D01" w:rsidP="009B3291">
      <w:pPr>
        <w:pStyle w:val="p1"/>
        <w:jc w:val="both"/>
        <w:rPr>
          <w:rFonts w:ascii="Book Antiqua" w:hAnsi="Book Antiqua"/>
          <w:b/>
          <w:bCs/>
          <w:sz w:val="24"/>
          <w:szCs w:val="24"/>
        </w:rPr>
      </w:pPr>
    </w:p>
    <w:p w14:paraId="5ADCFAD6" w14:textId="4A24AE2F" w:rsidR="009B3291" w:rsidRPr="009B3291" w:rsidRDefault="009B3291" w:rsidP="009B3291">
      <w:pPr>
        <w:pStyle w:val="p1"/>
        <w:jc w:val="both"/>
        <w:rPr>
          <w:rFonts w:ascii="Book Antiqua" w:hAnsi="Book Antiqua"/>
          <w:b/>
          <w:bCs/>
          <w:sz w:val="24"/>
          <w:szCs w:val="24"/>
        </w:rPr>
      </w:pPr>
      <w:r w:rsidRPr="009B3291">
        <w:rPr>
          <w:rFonts w:ascii="Book Antiqua" w:hAnsi="Book Antiqua"/>
          <w:b/>
          <w:bCs/>
          <w:sz w:val="24"/>
          <w:szCs w:val="24"/>
        </w:rPr>
        <w:t>OBJECTION TO THE INCLUSION OF THE ADLINGTON ESTATE /</w:t>
      </w:r>
    </w:p>
    <w:p w14:paraId="6A8FDCE6" w14:textId="77777777" w:rsidR="009B3291" w:rsidRDefault="009B3291" w:rsidP="009B3291">
      <w:pPr>
        <w:pStyle w:val="p1"/>
        <w:jc w:val="both"/>
        <w:rPr>
          <w:rFonts w:ascii="Book Antiqua" w:hAnsi="Book Antiqua"/>
          <w:b/>
          <w:bCs/>
          <w:sz w:val="24"/>
          <w:szCs w:val="24"/>
        </w:rPr>
      </w:pPr>
      <w:r w:rsidRPr="009B3291">
        <w:rPr>
          <w:rFonts w:ascii="Book Antiqua" w:hAnsi="Book Antiqua"/>
          <w:b/>
          <w:bCs/>
          <w:sz w:val="24"/>
          <w:szCs w:val="24"/>
        </w:rPr>
        <w:t>BELPORT LAND IN THE CHESHIRE EAST LOCAL PLAN</w:t>
      </w:r>
    </w:p>
    <w:p w14:paraId="73ACEA03" w14:textId="77777777" w:rsidR="00F65D01" w:rsidRPr="009B3291" w:rsidRDefault="00F65D01" w:rsidP="009B3291">
      <w:pPr>
        <w:pStyle w:val="p1"/>
        <w:jc w:val="both"/>
        <w:rPr>
          <w:rFonts w:ascii="Book Antiqua" w:hAnsi="Book Antiqua"/>
          <w:b/>
          <w:bCs/>
          <w:sz w:val="24"/>
          <w:szCs w:val="24"/>
        </w:rPr>
      </w:pPr>
    </w:p>
    <w:p w14:paraId="57824C44" w14:textId="19128F1A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 strongly object to the allocation for housing development of the extensive Adlington Estate land submitted by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Belport through the Call for Sites.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I live within the submitted area and know this landscape well. This is not redundant or marginal land awaiting a</w:t>
      </w:r>
    </w:p>
    <w:p w14:paraId="7AE722D6" w14:textId="100C2B16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use. It is a large, coherent area of productive farmland which is actively farmed today, including for cattle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and sheep grazing and the production of hay and silage.</w:t>
      </w:r>
    </w:p>
    <w:p w14:paraId="79D3163D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10305C5D" w14:textId="3310369E" w:rsidR="009B3291" w:rsidRPr="009B3291" w:rsidRDefault="009B3291" w:rsidP="009B3291">
      <w:pPr>
        <w:pStyle w:val="p3"/>
        <w:jc w:val="both"/>
        <w:rPr>
          <w:rFonts w:ascii="Book Antiqua" w:hAnsi="Book Antiqua"/>
          <w:b/>
          <w:bCs/>
          <w:sz w:val="24"/>
          <w:szCs w:val="24"/>
        </w:rPr>
      </w:pPr>
      <w:r w:rsidRPr="009B3291">
        <w:rPr>
          <w:rFonts w:ascii="Book Antiqua" w:hAnsi="Book Antiqua"/>
          <w:b/>
          <w:bCs/>
          <w:sz w:val="24"/>
          <w:szCs w:val="24"/>
        </w:rPr>
        <w:t>Food security and agricultural land</w:t>
      </w:r>
    </w:p>
    <w:p w14:paraId="3ACCBF8D" w14:textId="7DC4D2D9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 believe considerably greater weight should be given to the permanent loss of productive farmland when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deciding where Cheshire East's future housing should be located.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Food-producing land is a finite strategic resource. Once covered by houses, roads and infrastructure, its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productive capacity is effectively lost. This is increasingly important when Government policy recognises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domestic food production and food security as matters of national resilience.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The broad Agricultural Land Classification mapping identifies much of the Adlington area as Grade 3.</w:t>
      </w:r>
    </w:p>
    <w:p w14:paraId="7D2E4B76" w14:textId="77777777" w:rsidR="00F65D01" w:rsidRPr="009B3291" w:rsidRDefault="00F65D0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3C9E3F02" w14:textId="7411E90C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Importantly, however, broad Grade 3 mapping does not distinguish between Subgrade 3a, which is Best and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Most Versatile (BMV) agricultural land, and Subgrade 3b. BMV land is Grades 1, 2 and 3a.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There is therefore a strong case for detailed investigation before any Adlington land is allocated. A historic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detailed MAFF Agricultural Land Classification survey at Adlington identified both Grade 2 and Subgrade 3a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land. That survey should not be treated as proving the grade of every field within the present Belport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submission; rather, it demonstrates why reliance on broad Grade 3 mapping alone is inadequate in this locality.</w:t>
      </w:r>
    </w:p>
    <w:p w14:paraId="51AC0C68" w14:textId="77777777" w:rsidR="00F65D01" w:rsidRPr="009B3291" w:rsidRDefault="00F65D0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7CC78F30" w14:textId="757DE408" w:rsidR="009B3291" w:rsidRPr="009B3291" w:rsidRDefault="00F65D0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 my view, this site should not even be considered for any change in permitted use or development.  However, should the Council decide to progress the application by Belport to the next stage,  b</w:t>
      </w:r>
      <w:r w:rsidR="009B3291" w:rsidRPr="009B3291">
        <w:rPr>
          <w:rFonts w:ascii="Book Antiqua" w:hAnsi="Book Antiqua"/>
          <w:sz w:val="24"/>
          <w:szCs w:val="24"/>
        </w:rPr>
        <w:t>efore any Adlington/Belport site is shortlisted or allocated, I ask the Council to require and</w:t>
      </w:r>
      <w:r w:rsidR="009B3291">
        <w:rPr>
          <w:rFonts w:ascii="Book Antiqua" w:hAnsi="Book Antiqua"/>
          <w:sz w:val="24"/>
          <w:szCs w:val="24"/>
        </w:rPr>
        <w:t xml:space="preserve"> </w:t>
      </w:r>
      <w:r w:rsidR="009B3291" w:rsidRPr="009B3291">
        <w:rPr>
          <w:rFonts w:ascii="Book Antiqua" w:hAnsi="Book Antiqua"/>
          <w:sz w:val="24"/>
          <w:szCs w:val="24"/>
        </w:rPr>
        <w:t>publish a detailed Agricultural Land Classification survey of the submitted land, distinguishing</w:t>
      </w:r>
      <w:r w:rsidR="009B3291">
        <w:rPr>
          <w:rFonts w:ascii="Book Antiqua" w:hAnsi="Book Antiqua"/>
          <w:sz w:val="24"/>
          <w:szCs w:val="24"/>
        </w:rPr>
        <w:t xml:space="preserve"> </w:t>
      </w:r>
      <w:r w:rsidR="009B3291" w:rsidRPr="009B3291">
        <w:rPr>
          <w:rFonts w:ascii="Book Antiqua" w:hAnsi="Book Antiqua"/>
          <w:sz w:val="24"/>
          <w:szCs w:val="24"/>
        </w:rPr>
        <w:t>Grades 2, 3a and 3b.</w:t>
      </w:r>
      <w:r w:rsidR="009B3291">
        <w:rPr>
          <w:rFonts w:ascii="Book Antiqua" w:hAnsi="Book Antiqua"/>
          <w:sz w:val="24"/>
          <w:szCs w:val="24"/>
        </w:rPr>
        <w:t xml:space="preserve">  </w:t>
      </w:r>
      <w:r w:rsidR="009B3291" w:rsidRPr="009B3291">
        <w:rPr>
          <w:rFonts w:ascii="Book Antiqua" w:hAnsi="Book Antiqua"/>
          <w:sz w:val="24"/>
          <w:szCs w:val="24"/>
        </w:rPr>
        <w:t>National planning policy requires the economic and other benefits of BMV agricultural land to be recognised</w:t>
      </w:r>
      <w:r w:rsidR="009B3291">
        <w:rPr>
          <w:rFonts w:ascii="Book Antiqua" w:hAnsi="Book Antiqua"/>
          <w:sz w:val="24"/>
          <w:szCs w:val="24"/>
        </w:rPr>
        <w:t xml:space="preserve"> </w:t>
      </w:r>
      <w:r w:rsidR="009B3291" w:rsidRPr="009B3291">
        <w:rPr>
          <w:rFonts w:ascii="Book Antiqua" w:hAnsi="Book Antiqua"/>
          <w:sz w:val="24"/>
          <w:szCs w:val="24"/>
        </w:rPr>
        <w:t>and, where significant development of agricultural land is necessary, poorer-quality land to be preferred to</w:t>
      </w:r>
      <w:r w:rsidR="009B3291">
        <w:rPr>
          <w:rFonts w:ascii="Book Antiqua" w:hAnsi="Book Antiqua"/>
          <w:sz w:val="24"/>
          <w:szCs w:val="24"/>
        </w:rPr>
        <w:t xml:space="preserve"> </w:t>
      </w:r>
      <w:r w:rsidR="009B3291" w:rsidRPr="009B3291">
        <w:rPr>
          <w:rFonts w:ascii="Book Antiqua" w:hAnsi="Book Antiqua"/>
          <w:sz w:val="24"/>
          <w:szCs w:val="24"/>
        </w:rPr>
        <w:t>higher-quality land. The Government's 2026 Land Use Framework is even more explicit about the strategic</w:t>
      </w:r>
      <w:r w:rsidR="009B3291">
        <w:rPr>
          <w:rFonts w:ascii="Book Antiqua" w:hAnsi="Book Antiqua"/>
          <w:sz w:val="24"/>
          <w:szCs w:val="24"/>
        </w:rPr>
        <w:t xml:space="preserve"> </w:t>
      </w:r>
      <w:r w:rsidR="009B3291" w:rsidRPr="009B3291">
        <w:rPr>
          <w:rFonts w:ascii="Book Antiqua" w:hAnsi="Book Antiqua"/>
          <w:sz w:val="24"/>
          <w:szCs w:val="24"/>
        </w:rPr>
        <w:t>importance of safeguarding productive farmland: it states that food security is national security and commits</w:t>
      </w:r>
      <w:r w:rsidR="009B3291">
        <w:rPr>
          <w:rFonts w:ascii="Book Antiqua" w:hAnsi="Book Antiqua"/>
          <w:sz w:val="24"/>
          <w:szCs w:val="24"/>
        </w:rPr>
        <w:t xml:space="preserve"> </w:t>
      </w:r>
      <w:r w:rsidR="009B3291" w:rsidRPr="009B3291">
        <w:rPr>
          <w:rFonts w:ascii="Book Antiqua" w:hAnsi="Book Antiqua"/>
          <w:sz w:val="24"/>
          <w:szCs w:val="24"/>
        </w:rPr>
        <w:t>to safeguarding BMV farmland from permanent land-use change, including urban expansion.</w:t>
      </w:r>
    </w:p>
    <w:p w14:paraId="6FAC7745" w14:textId="77777777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3687130F" w14:textId="1DE21965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In my view, Cheshire East should first demonstrate why its housing requirement cannot reasonably be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accommodated on brownfield, previously developed and less agriculturally valuable land before permanently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sacrificing productive countryside on this scale.</w:t>
      </w:r>
    </w:p>
    <w:p w14:paraId="20A3C7C9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76F2E636" w14:textId="77777777" w:rsidR="009B3291" w:rsidRPr="009B3291" w:rsidRDefault="009B3291" w:rsidP="009B3291">
      <w:pPr>
        <w:pStyle w:val="p3"/>
        <w:jc w:val="both"/>
        <w:rPr>
          <w:rFonts w:ascii="Book Antiqua" w:hAnsi="Book Antiqua"/>
          <w:b/>
          <w:bCs/>
          <w:sz w:val="24"/>
          <w:szCs w:val="24"/>
        </w:rPr>
      </w:pPr>
      <w:r w:rsidRPr="009B3291">
        <w:rPr>
          <w:rFonts w:ascii="Book Antiqua" w:hAnsi="Book Antiqua"/>
          <w:b/>
          <w:bCs/>
          <w:sz w:val="24"/>
          <w:szCs w:val="24"/>
        </w:rPr>
        <w:t>Ecology, landscape and Green Belt</w:t>
      </w:r>
    </w:p>
    <w:p w14:paraId="01D29E13" w14:textId="3A064047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lastRenderedPageBreak/>
        <w:t>The agricultural value of Adlington does not exist in isolation. Cheshire Wildlife Trust identifies an extensive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network of woodland, ancient woodland, mature hedgerows, ponds, streams and rivers across the Adlington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landscape. Together these form habitat corridors connecting the Peak District with the Cheshire Plain.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Development would therefore not simply remove individual fields. It risks fragmenting an ecological network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which has survived because this landscape has remained predominantly agricultural for generations.</w:t>
      </w:r>
    </w:p>
    <w:p w14:paraId="4731D56F" w14:textId="77777777" w:rsidR="00F65D01" w:rsidRPr="009B3291" w:rsidRDefault="00F65D0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368E1850" w14:textId="31833FB6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The land also performs an important Green Belt function by maintaining genuine countryside and separation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between settlements and resisting the gradual spread and coalescence of development between Macclesfield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and the Greater Manchester conurbation.</w:t>
      </w:r>
    </w:p>
    <w:p w14:paraId="306A8B28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04478FB1" w14:textId="77777777" w:rsidR="009B3291" w:rsidRPr="009B3291" w:rsidRDefault="009B3291" w:rsidP="009B3291">
      <w:pPr>
        <w:pStyle w:val="p3"/>
        <w:jc w:val="both"/>
        <w:rPr>
          <w:rFonts w:ascii="Book Antiqua" w:hAnsi="Book Antiqua"/>
          <w:b/>
          <w:bCs/>
          <w:sz w:val="24"/>
          <w:szCs w:val="24"/>
        </w:rPr>
      </w:pPr>
      <w:r w:rsidRPr="009B3291">
        <w:rPr>
          <w:rFonts w:ascii="Book Antiqua" w:hAnsi="Book Antiqua"/>
          <w:b/>
          <w:bCs/>
          <w:sz w:val="24"/>
          <w:szCs w:val="24"/>
        </w:rPr>
        <w:t>The Council's own previous position</w:t>
      </w:r>
    </w:p>
    <w:p w14:paraId="4D172720" w14:textId="3C1D82FE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These concerns are particularly compelling because Cheshire East Council itself unanimously opposed the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Adlington New Town proposal, expressly identifying the site's many hectares of high-quality grazing land,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several long-established farms, recognised ecological value and the risk of continuous built form from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Macclesfield to Stockport.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Those characteristics have not disappeared because the New Town proposal was dropped. They are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characteristics of the land, not consequences of the number of houses previously proposed. Nor should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substantially the same harm be achieved incrementally through the allocation of separate parcels of the Estate.</w:t>
      </w:r>
    </w:p>
    <w:p w14:paraId="0049F61B" w14:textId="77777777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4A763FE5" w14:textId="2248AE23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 recognise that Cheshire East needs to provide new homes. The issue is not whether homes should be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built, but where they should be built.</w:t>
      </w:r>
      <w:r>
        <w:rPr>
          <w:rFonts w:ascii="Book Antiqua" w:hAnsi="Book Antiqua"/>
          <w:sz w:val="24"/>
          <w:szCs w:val="24"/>
        </w:rPr>
        <w:t xml:space="preserve">  </w:t>
      </w:r>
      <w:r w:rsidRPr="009B3291">
        <w:rPr>
          <w:rFonts w:ascii="Book Antiqua" w:hAnsi="Book Antiqua"/>
          <w:sz w:val="24"/>
          <w:szCs w:val="24"/>
        </w:rPr>
        <w:t>The Adlington Estate is simultaneously producing food, supporting established farming businesses, providing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wildlife habitat and connectivity, maintaining an historic Cheshire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landscape and preserving separation between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settlements.</w:t>
      </w:r>
    </w:p>
    <w:p w14:paraId="00538E3E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41D2E4B9" w14:textId="1AEC21A1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Housing can be provided elsewhere. Once this productive agricultural landscape has been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developed, it cannot be recreated.</w:t>
      </w:r>
    </w:p>
    <w:p w14:paraId="09C09634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7A92B405" w14:textId="3BF2824E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 therefore ask Cheshire East Council not to allocate the Adlington Estate/Belport land for housing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development in the new Local Plan and to protect it for continued agricultural use.</w:t>
      </w:r>
    </w:p>
    <w:p w14:paraId="30F882BA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3B63C121" w14:textId="793B66FA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I also request that, for every Adlington/Belport site taken forward for further consideration, the Council publishes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the Agricultural Land Classification upon which it relies, separately identifying Grade 2, Subgrade 3a and</w:t>
      </w:r>
      <w:r>
        <w:rPr>
          <w:rFonts w:ascii="Book Antiqua" w:hAnsi="Book Antiqua"/>
          <w:sz w:val="24"/>
          <w:szCs w:val="24"/>
        </w:rPr>
        <w:t xml:space="preserve"> </w:t>
      </w:r>
      <w:r w:rsidRPr="009B3291">
        <w:rPr>
          <w:rFonts w:ascii="Book Antiqua" w:hAnsi="Book Antiqua"/>
          <w:sz w:val="24"/>
          <w:szCs w:val="24"/>
        </w:rPr>
        <w:t>Subgrade 3b land and stating whether that classification derives from detailed field survey or broad/provisional</w:t>
      </w:r>
    </w:p>
    <w:p w14:paraId="7CF4F410" w14:textId="77777777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 w:rsidRPr="009B3291">
        <w:rPr>
          <w:rFonts w:ascii="Book Antiqua" w:hAnsi="Book Antiqua"/>
          <w:sz w:val="24"/>
          <w:szCs w:val="24"/>
        </w:rPr>
        <w:t>mapping.</w:t>
      </w:r>
    </w:p>
    <w:p w14:paraId="3937DD0A" w14:textId="77777777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1BD36D30" w14:textId="21D30479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Yours sincerely</w:t>
      </w:r>
    </w:p>
    <w:p w14:paraId="5DCD5647" w14:textId="2F8B137F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Alex Long</w:t>
      </w:r>
    </w:p>
    <w:p w14:paraId="5A9D6795" w14:textId="246B51A7" w:rsid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Resident of Whiteley Green</w:t>
      </w:r>
    </w:p>
    <w:p w14:paraId="55557263" w14:textId="4A12178E" w:rsidR="009B3291" w:rsidRDefault="009B3291">
      <w:pPr>
        <w:rPr>
          <w:rFonts w:ascii="Book Antiqua" w:eastAsia="Times New Roman" w:hAnsi="Book Antiqua" w:cs="Times New Roman"/>
          <w:color w:val="000000"/>
          <w:kern w:val="0"/>
          <w:lang w:eastAsia="en-GB"/>
          <w14:ligatures w14:val="none"/>
        </w:rPr>
      </w:pPr>
      <w:r>
        <w:rPr>
          <w:rFonts w:ascii="Book Antiqua" w:hAnsi="Book Antiqua"/>
        </w:rPr>
        <w:br w:type="page"/>
      </w:r>
    </w:p>
    <w:p w14:paraId="331E8963" w14:textId="489D9258" w:rsidR="009B3291" w:rsidRPr="00F65D01" w:rsidRDefault="009B3291" w:rsidP="009B3291">
      <w:pPr>
        <w:pStyle w:val="p2"/>
        <w:jc w:val="both"/>
        <w:rPr>
          <w:rFonts w:ascii="Book Antiqua" w:hAnsi="Book Antiqua"/>
          <w:b/>
          <w:bCs/>
          <w:sz w:val="20"/>
          <w:szCs w:val="20"/>
        </w:rPr>
      </w:pPr>
      <w:r w:rsidRPr="00F65D01">
        <w:rPr>
          <w:rFonts w:ascii="Book Antiqua" w:hAnsi="Book Antiqua"/>
          <w:b/>
          <w:bCs/>
          <w:sz w:val="20"/>
          <w:szCs w:val="20"/>
        </w:rPr>
        <w:lastRenderedPageBreak/>
        <w:t>Sources relied upon</w:t>
      </w:r>
    </w:p>
    <w:p w14:paraId="1ED59F28" w14:textId="77777777" w:rsidR="009B3291" w:rsidRPr="009B3291" w:rsidRDefault="009B3291" w:rsidP="009B3291">
      <w:pPr>
        <w:pStyle w:val="p2"/>
        <w:jc w:val="both"/>
        <w:rPr>
          <w:rFonts w:ascii="Book Antiqua" w:hAnsi="Book Antiqua"/>
          <w:sz w:val="24"/>
          <w:szCs w:val="24"/>
        </w:rPr>
      </w:pPr>
    </w:p>
    <w:p w14:paraId="3971EAED" w14:textId="77777777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1. Cheshire East Council — New towns proposals / Council position on Adlington</w:t>
      </w:r>
    </w:p>
    <w:p w14:paraId="74B1E11F" w14:textId="0AD30381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The Council records its unanimous opposition to the Adlington New Town proposal and identifies high-quality grazing land,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long-established farms, ecological value and the risk of continuous built form from Macclesfield to Stockport.</w:t>
      </w:r>
    </w:p>
    <w:p w14:paraId="6716653C" w14:textId="3E4A39CB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hyperlink r:id="rId6" w:history="1">
        <w:r w:rsidRPr="009B3291">
          <w:rPr>
            <w:rStyle w:val="Hyperlink"/>
            <w:rFonts w:ascii="Book Antiqua" w:hAnsi="Book Antiqua"/>
            <w:sz w:val="20"/>
            <w:szCs w:val="20"/>
          </w:rPr>
          <w:t>https://www.cheshireeast.gov.uk/planning/spatial-planning/new-towns-proposals.aspx</w:t>
        </w:r>
      </w:hyperlink>
    </w:p>
    <w:p w14:paraId="3F801F5E" w14:textId="77777777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</w:p>
    <w:p w14:paraId="07100544" w14:textId="2D420BE2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2. Department for Environment, Food &amp; Rural Affairs — Land Use Framework for England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(2026)</w:t>
      </w:r>
    </w:p>
    <w:p w14:paraId="72D7B380" w14:textId="43677882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The Framework states that food security is national security and commits Government to safeguarding Best and Most Versatile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farmland from permanent land-use change, including urban expansion, and to improving the agricultural land data available to</w:t>
      </w:r>
    </w:p>
    <w:p w14:paraId="471275F7" w14:textId="2A445B93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plan-makers.</w:t>
      </w:r>
    </w:p>
    <w:p w14:paraId="1DF606B6" w14:textId="3452A50D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hyperlink r:id="rId7" w:history="1">
        <w:r w:rsidRPr="009B3291">
          <w:rPr>
            <w:rStyle w:val="Hyperlink"/>
            <w:rFonts w:ascii="Book Antiqua" w:hAnsi="Book Antiqua"/>
            <w:sz w:val="20"/>
            <w:szCs w:val="20"/>
          </w:rPr>
          <w:t>https://www.gov.uk/government/publications/land-use-framework/the-land</w:t>
        </w:r>
        <w:r w:rsidRPr="009B3291">
          <w:rPr>
            <w:rStyle w:val="Hyperlink"/>
            <w:rFonts w:ascii="Book Antiqua" w:hAnsi="Book Antiqua"/>
            <w:sz w:val="20"/>
            <w:szCs w:val="20"/>
          </w:rPr>
          <w:t>-</w:t>
        </w:r>
        <w:r w:rsidRPr="009B3291">
          <w:rPr>
            <w:rStyle w:val="Hyperlink"/>
            <w:rFonts w:ascii="Book Antiqua" w:hAnsi="Book Antiqua"/>
            <w:sz w:val="20"/>
            <w:szCs w:val="20"/>
          </w:rPr>
          <w:t>use-framework-for-england-accessible</w:t>
        </w:r>
      </w:hyperlink>
    </w:p>
    <w:p w14:paraId="1B32EBFD" w14:textId="77777777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</w:p>
    <w:p w14:paraId="3E45B9AD" w14:textId="66509B22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3. Natural England / GOV.UK — Guide to assessing development proposals on agricultural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land</w:t>
      </w:r>
    </w:p>
    <w:p w14:paraId="73138654" w14:textId="4F153EF3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Explains Agricultural Land Classification, confirms that Grades 1, 2 and 3a constitute Best and Most Versatile agricultural land,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and explains the planning importance of preferring poorer-quality agricultural land where possible.</w:t>
      </w:r>
    </w:p>
    <w:p w14:paraId="6F68D28D" w14:textId="6E21D620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hyperlink r:id="rId8" w:history="1">
        <w:r w:rsidRPr="009B3291">
          <w:rPr>
            <w:rStyle w:val="Hyperlink"/>
            <w:rFonts w:ascii="Book Antiqua" w:hAnsi="Book Antiqua"/>
            <w:sz w:val="20"/>
            <w:szCs w:val="20"/>
          </w:rPr>
          <w:t>https://www.gov.uk/government/publications/agricultural-land-assess-proposals-for-development/guide-to-assessing-development-proposals-on</w:t>
        </w:r>
        <w:r w:rsidRPr="009B3291">
          <w:rPr>
            <w:rStyle w:val="Hyperlink"/>
            <w:rFonts w:ascii="Book Antiqua" w:hAnsi="Book Antiqua"/>
            <w:sz w:val="20"/>
            <w:szCs w:val="20"/>
          </w:rPr>
          <w:t>-</w:t>
        </w:r>
        <w:r w:rsidRPr="009B3291">
          <w:rPr>
            <w:rStyle w:val="Hyperlink"/>
            <w:rFonts w:ascii="Book Antiqua" w:hAnsi="Book Antiqua"/>
            <w:sz w:val="20"/>
            <w:szCs w:val="20"/>
          </w:rPr>
          <w:t>agricultural-land</w:t>
        </w:r>
      </w:hyperlink>
    </w:p>
    <w:p w14:paraId="58D1938D" w14:textId="77777777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</w:p>
    <w:p w14:paraId="23625FD0" w14:textId="77777777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4. National Planning Policy Framework — Conserving and enhancing the natural environment</w:t>
      </w:r>
    </w:p>
    <w:p w14:paraId="4A1B4167" w14:textId="43F643DF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Requires planning policies and decisions to recognise the economic and other benefits of Best and Most Versatile agricultural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land and to protect and enhance landscapes, biodiversity and soils.</w:t>
      </w:r>
    </w:p>
    <w:p w14:paraId="12A8ED4E" w14:textId="73ED107C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hyperlink r:id="rId9" w:history="1">
        <w:r w:rsidRPr="009B3291">
          <w:rPr>
            <w:rStyle w:val="Hyperlink"/>
            <w:rFonts w:ascii="Book Antiqua" w:hAnsi="Book Antiqua"/>
            <w:sz w:val="20"/>
            <w:szCs w:val="20"/>
          </w:rPr>
          <w:t>https://www.gov.uk/guidance/national-planning-policy-framework/15-conserving-and-enhancing-the-natural-environment</w:t>
        </w:r>
      </w:hyperlink>
    </w:p>
    <w:p w14:paraId="036F9A27" w14:textId="77777777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</w:p>
    <w:p w14:paraId="75A4777D" w14:textId="77777777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5. Cheshire Wildlife Trust — Adlington</w:t>
      </w:r>
    </w:p>
    <w:p w14:paraId="3DC8BE06" w14:textId="1EEA1513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Sets out the ecological significance of the Adlington landscape, including its woodland, hedgerows, streams, rivers and ponds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and their role as a connected habitat network between the Peak District and Cheshire Plain.</w:t>
      </w:r>
    </w:p>
    <w:p w14:paraId="592ECD23" w14:textId="3B8693AA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hyperlink r:id="rId10" w:history="1">
        <w:r w:rsidRPr="009B3291">
          <w:rPr>
            <w:rStyle w:val="Hyperlink"/>
            <w:rFonts w:ascii="Book Antiqua" w:hAnsi="Book Antiqua"/>
            <w:sz w:val="20"/>
            <w:szCs w:val="20"/>
          </w:rPr>
          <w:t>https://www.cheshirewildlifetrust.org.uk/adlington</w:t>
        </w:r>
      </w:hyperlink>
    </w:p>
    <w:p w14:paraId="01E2E7C2" w14:textId="77777777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</w:p>
    <w:p w14:paraId="269C036A" w14:textId="305CFC3E" w:rsidR="009B3291" w:rsidRPr="009B3291" w:rsidRDefault="009B3291" w:rsidP="009B3291">
      <w:pPr>
        <w:pStyle w:val="p3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6. Cheshire Wildlife Trust — Baseline Assessment of Ecological and Landscape Value of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Adlington</w:t>
      </w:r>
    </w:p>
    <w:p w14:paraId="71FFE7D5" w14:textId="5B4FD6B4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Detailed ecological evidence prepared in relation to the Adlington proposals, documenting the landscape's habitat mosaic and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species value.</w:t>
      </w:r>
    </w:p>
    <w:p w14:paraId="016DC7C0" w14:textId="77777777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sz w:val="20"/>
          <w:szCs w:val="20"/>
        </w:rPr>
        <w:t>Available through the Cheshire Wildlife Trust Adlington page above.</w:t>
      </w:r>
    </w:p>
    <w:p w14:paraId="670641CA" w14:textId="468F420C" w:rsidR="009B3291" w:rsidRPr="009B3291" w:rsidRDefault="009B3291" w:rsidP="009B3291">
      <w:pPr>
        <w:pStyle w:val="p5"/>
        <w:jc w:val="both"/>
        <w:rPr>
          <w:rFonts w:ascii="Book Antiqua" w:hAnsi="Book Antiqua"/>
          <w:sz w:val="20"/>
          <w:szCs w:val="20"/>
        </w:rPr>
      </w:pPr>
      <w:r w:rsidRPr="009B3291">
        <w:rPr>
          <w:rFonts w:ascii="Book Antiqua" w:hAnsi="Book Antiqua"/>
          <w:i/>
          <w:iCs/>
          <w:sz w:val="20"/>
          <w:szCs w:val="20"/>
        </w:rPr>
        <w:t>Note on Agricultural Land Classification:</w:t>
      </w:r>
      <w:r w:rsidRPr="009B3291">
        <w:rPr>
          <w:rFonts w:ascii="Book Antiqua" w:hAnsi="Book Antiqua"/>
          <w:sz w:val="20"/>
          <w:szCs w:val="20"/>
        </w:rPr>
        <w:t xml:space="preserve"> The historic detailed MAFF survey evidence at Adlington is relied upon only to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demonstrate the need for detailed site-specific classification of Grade 3 land. It is not asserted that its results establish the</w:t>
      </w:r>
      <w:r w:rsidRPr="009B3291">
        <w:rPr>
          <w:rFonts w:ascii="Book Antiqua" w:hAnsi="Book Antiqua"/>
          <w:sz w:val="20"/>
          <w:szCs w:val="20"/>
        </w:rPr>
        <w:t xml:space="preserve"> </w:t>
      </w:r>
      <w:r w:rsidRPr="009B3291">
        <w:rPr>
          <w:rFonts w:ascii="Book Antiqua" w:hAnsi="Book Antiqua"/>
          <w:sz w:val="20"/>
          <w:szCs w:val="20"/>
        </w:rPr>
        <w:t>classification of every field within the current Belport Call for Sites submission.</w:t>
      </w:r>
    </w:p>
    <w:p w14:paraId="3C60FB6D" w14:textId="77777777" w:rsidR="002E24CA" w:rsidRPr="009B3291" w:rsidRDefault="002E24CA" w:rsidP="009B3291">
      <w:pPr>
        <w:jc w:val="both"/>
        <w:rPr>
          <w:rFonts w:ascii="Book Antiqua" w:hAnsi="Book Antiqua"/>
          <w:sz w:val="20"/>
          <w:szCs w:val="20"/>
        </w:rPr>
      </w:pPr>
    </w:p>
    <w:sectPr w:rsidR="002E24CA" w:rsidRPr="009B3291"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2C57" w14:textId="77777777" w:rsidR="000B0EC9" w:rsidRDefault="000B0EC9" w:rsidP="00F65D01">
      <w:r>
        <w:separator/>
      </w:r>
    </w:p>
  </w:endnote>
  <w:endnote w:type="continuationSeparator" w:id="0">
    <w:p w14:paraId="456D8361" w14:textId="77777777" w:rsidR="000B0EC9" w:rsidRDefault="000B0EC9" w:rsidP="00F6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1103834"/>
      <w:docPartObj>
        <w:docPartGallery w:val="Page Numbers (Bottom of Page)"/>
        <w:docPartUnique/>
      </w:docPartObj>
    </w:sdtPr>
    <w:sdtContent>
      <w:p w14:paraId="0BE34F54" w14:textId="4C91479C" w:rsidR="00F65D01" w:rsidRDefault="00F65D01" w:rsidP="003F08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892F2B" w14:textId="77777777" w:rsidR="00F65D01" w:rsidRDefault="00F65D01" w:rsidP="00F65D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30033911"/>
      <w:docPartObj>
        <w:docPartGallery w:val="Page Numbers (Bottom of Page)"/>
        <w:docPartUnique/>
      </w:docPartObj>
    </w:sdtPr>
    <w:sdtContent>
      <w:p w14:paraId="5FA9C372" w14:textId="13E36F26" w:rsidR="00F65D01" w:rsidRDefault="00F65D01" w:rsidP="003F08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580221E" w14:textId="77777777" w:rsidR="00F65D01" w:rsidRDefault="00F65D01" w:rsidP="00F65D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B38A" w14:textId="77777777" w:rsidR="000B0EC9" w:rsidRDefault="000B0EC9" w:rsidP="00F65D01">
      <w:r>
        <w:separator/>
      </w:r>
    </w:p>
  </w:footnote>
  <w:footnote w:type="continuationSeparator" w:id="0">
    <w:p w14:paraId="4F77EE3B" w14:textId="77777777" w:rsidR="000B0EC9" w:rsidRDefault="000B0EC9" w:rsidP="00F6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91"/>
    <w:rsid w:val="000B0EC9"/>
    <w:rsid w:val="002E24CA"/>
    <w:rsid w:val="003F16C7"/>
    <w:rsid w:val="00803732"/>
    <w:rsid w:val="00856437"/>
    <w:rsid w:val="009B3291"/>
    <w:rsid w:val="00F6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7699E"/>
  <w15:chartTrackingRefBased/>
  <w15:docId w15:val="{F9AAB58B-DC92-6345-9941-6902F7AD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2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2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2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2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2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29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B3291"/>
    <w:rPr>
      <w:rFonts w:ascii="Helvetica" w:eastAsia="Times New Roman" w:hAnsi="Helvetica" w:cs="Times New Roman"/>
      <w:color w:val="000000"/>
      <w:kern w:val="0"/>
      <w:sz w:val="23"/>
      <w:szCs w:val="23"/>
      <w:lang w:eastAsia="en-GB"/>
      <w14:ligatures w14:val="none"/>
    </w:rPr>
  </w:style>
  <w:style w:type="paragraph" w:customStyle="1" w:styleId="p2">
    <w:name w:val="p2"/>
    <w:basedOn w:val="Normal"/>
    <w:rsid w:val="009B3291"/>
    <w:rPr>
      <w:rFonts w:ascii="Helvetica" w:eastAsia="Times New Roman" w:hAnsi="Helvetica" w:cs="Times New Roman"/>
      <w:color w:val="000000"/>
      <w:kern w:val="0"/>
      <w:sz w:val="14"/>
      <w:szCs w:val="14"/>
      <w:lang w:eastAsia="en-GB"/>
      <w14:ligatures w14:val="none"/>
    </w:rPr>
  </w:style>
  <w:style w:type="paragraph" w:customStyle="1" w:styleId="p3">
    <w:name w:val="p3"/>
    <w:basedOn w:val="Normal"/>
    <w:rsid w:val="009B3291"/>
    <w:rPr>
      <w:rFonts w:ascii="Helvetica" w:eastAsia="Times New Roman" w:hAnsi="Helvetica" w:cs="Times New Roman"/>
      <w:color w:val="000000"/>
      <w:kern w:val="0"/>
      <w:sz w:val="16"/>
      <w:szCs w:val="16"/>
      <w:lang w:eastAsia="en-GB"/>
      <w14:ligatures w14:val="none"/>
    </w:rPr>
  </w:style>
  <w:style w:type="paragraph" w:customStyle="1" w:styleId="p4">
    <w:name w:val="p4"/>
    <w:basedOn w:val="Normal"/>
    <w:rsid w:val="009B3291"/>
    <w:rPr>
      <w:rFonts w:ascii="Helvetica" w:eastAsia="Times New Roman" w:hAnsi="Helvetica" w:cs="Times New Roman"/>
      <w:color w:val="000000"/>
      <w:kern w:val="0"/>
      <w:sz w:val="11"/>
      <w:szCs w:val="11"/>
      <w:lang w:eastAsia="en-GB"/>
      <w14:ligatures w14:val="none"/>
    </w:rPr>
  </w:style>
  <w:style w:type="paragraph" w:customStyle="1" w:styleId="p5">
    <w:name w:val="p5"/>
    <w:basedOn w:val="Normal"/>
    <w:rsid w:val="009B3291"/>
    <w:rPr>
      <w:rFonts w:ascii="Helvetica" w:eastAsia="Times New Roman" w:hAnsi="Helvetica" w:cs="Times New Roman"/>
      <w:color w:val="262626"/>
      <w:kern w:val="0"/>
      <w:sz w:val="12"/>
      <w:szCs w:val="12"/>
      <w:lang w:eastAsia="en-GB"/>
      <w14:ligatures w14:val="none"/>
    </w:rPr>
  </w:style>
  <w:style w:type="character" w:customStyle="1" w:styleId="s1">
    <w:name w:val="s1"/>
    <w:basedOn w:val="DefaultParagraphFont"/>
    <w:rsid w:val="009B3291"/>
    <w:rPr>
      <w:rFonts w:ascii="Helvetica" w:hAnsi="Helvetica" w:hint="default"/>
      <w:sz w:val="16"/>
      <w:szCs w:val="16"/>
    </w:rPr>
  </w:style>
  <w:style w:type="character" w:customStyle="1" w:styleId="s2">
    <w:name w:val="s2"/>
    <w:basedOn w:val="DefaultParagraphFont"/>
    <w:rsid w:val="009B3291"/>
    <w:rPr>
      <w:rFonts w:ascii="Helvetica" w:hAnsi="Helvetica" w:hint="default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9B32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29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65D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D01"/>
  </w:style>
  <w:style w:type="character" w:styleId="PageNumber">
    <w:name w:val="page number"/>
    <w:basedOn w:val="DefaultParagraphFont"/>
    <w:uiPriority w:val="99"/>
    <w:semiHidden/>
    <w:unhideWhenUsed/>
    <w:rsid w:val="00F65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agricultural-land-assess-proposals-for-development/guide-to-assessing-development-proposals-on-agricultural-lan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uk/government/publications/land-use-framework/the-land-use-framework-for-england-accessible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eshireeast.gov.uk/planning/spatial-planning/new-towns-proposals.aspx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cheshirewildlifetrust.org.uk/adlingto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v.uk/guidance/national-planning-policy-framework/15-conserving-and-enhancing-the-natural-environ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1184</Words>
  <Characters>7651</Characters>
  <Application>Microsoft Office Word</Application>
  <DocSecurity>0</DocSecurity>
  <Lines>104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Simmonds, Recorder Alexandra</dc:creator>
  <cp:keywords/>
  <dc:description/>
  <cp:lastModifiedBy>Simmonds, Recorder Alexandra</cp:lastModifiedBy>
  <cp:revision>1</cp:revision>
  <dcterms:created xsi:type="dcterms:W3CDTF">2026-08-28T11:05:00Z</dcterms:created>
  <dcterms:modified xsi:type="dcterms:W3CDTF">2026-08-28T11:20:00Z</dcterms:modified>
</cp:coreProperties>
</file>