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7D5688" w14:textId="77777777" w:rsidR="00CA5A10" w:rsidRPr="00156FFA" w:rsidRDefault="009F3A85" w:rsidP="009F3A85">
      <w:pPr>
        <w:spacing w:after="0" w:line="259" w:lineRule="auto"/>
        <w:ind w:left="0" w:firstLine="0"/>
        <w:rPr>
          <w:b/>
          <w:sz w:val="32"/>
          <w:szCs w:val="32"/>
        </w:rPr>
      </w:pPr>
      <w:r w:rsidRPr="00156FFA">
        <w:rPr>
          <w:b/>
          <w:sz w:val="32"/>
          <w:szCs w:val="32"/>
        </w:rPr>
        <w:t xml:space="preserve">Feedback regarding </w:t>
      </w:r>
      <w:r w:rsidR="00156FFA" w:rsidRPr="00156FFA">
        <w:rPr>
          <w:b/>
          <w:sz w:val="32"/>
          <w:szCs w:val="32"/>
        </w:rPr>
        <w:t>Tatton estates site submission and local</w:t>
      </w:r>
      <w:r w:rsidRPr="00156FFA">
        <w:rPr>
          <w:b/>
          <w:sz w:val="32"/>
          <w:szCs w:val="32"/>
        </w:rPr>
        <w:t xml:space="preserve"> plan</w:t>
      </w:r>
      <w:r w:rsidR="00156FFA">
        <w:rPr>
          <w:b/>
          <w:sz w:val="32"/>
          <w:szCs w:val="32"/>
        </w:rPr>
        <w:t>.</w:t>
      </w:r>
      <w:r w:rsidRPr="00156FFA">
        <w:rPr>
          <w:b/>
          <w:sz w:val="32"/>
          <w:szCs w:val="32"/>
        </w:rPr>
        <w:t xml:space="preserve"> Ashley area and Green belt parcels</w:t>
      </w:r>
      <w:r w:rsidR="00156FFA" w:rsidRPr="00156FFA">
        <w:rPr>
          <w:b/>
          <w:sz w:val="32"/>
          <w:szCs w:val="32"/>
        </w:rPr>
        <w:t>.</w:t>
      </w:r>
      <w:r w:rsidR="00CA5A10" w:rsidRPr="00156FFA">
        <w:rPr>
          <w:b/>
          <w:sz w:val="32"/>
          <w:szCs w:val="32"/>
        </w:rPr>
        <w:tab/>
      </w:r>
      <w:r w:rsidR="00CA5A10" w:rsidRPr="00156FFA">
        <w:rPr>
          <w:b/>
          <w:sz w:val="32"/>
          <w:szCs w:val="32"/>
        </w:rPr>
        <w:tab/>
      </w:r>
      <w:r w:rsidR="00CA5A10" w:rsidRPr="00156FFA">
        <w:rPr>
          <w:b/>
          <w:sz w:val="32"/>
          <w:szCs w:val="32"/>
        </w:rPr>
        <w:tab/>
      </w:r>
      <w:r w:rsidR="00CA5A10" w:rsidRPr="00156FFA">
        <w:rPr>
          <w:b/>
          <w:sz w:val="32"/>
          <w:szCs w:val="32"/>
        </w:rPr>
        <w:tab/>
      </w:r>
      <w:r w:rsidR="00CA5A10" w:rsidRPr="00156FFA">
        <w:rPr>
          <w:b/>
          <w:sz w:val="32"/>
          <w:szCs w:val="32"/>
        </w:rPr>
        <w:tab/>
      </w:r>
      <w:r w:rsidR="00CA5A10" w:rsidRPr="00156FFA">
        <w:rPr>
          <w:b/>
          <w:sz w:val="32"/>
          <w:szCs w:val="32"/>
        </w:rPr>
        <w:tab/>
      </w:r>
      <w:r w:rsidR="00CA5A10" w:rsidRPr="00156FFA">
        <w:rPr>
          <w:b/>
          <w:sz w:val="32"/>
          <w:szCs w:val="32"/>
        </w:rPr>
        <w:tab/>
      </w:r>
      <w:r w:rsidR="00CA5A10" w:rsidRPr="00156FFA">
        <w:rPr>
          <w:b/>
          <w:sz w:val="32"/>
          <w:szCs w:val="32"/>
        </w:rPr>
        <w:tab/>
      </w:r>
    </w:p>
    <w:p w14:paraId="406D507C" w14:textId="77777777" w:rsidR="00CA5A10" w:rsidRDefault="00CA5A10">
      <w:pPr>
        <w:spacing w:after="0" w:line="259" w:lineRule="auto"/>
        <w:ind w:left="0" w:firstLine="0"/>
      </w:pPr>
      <w:r>
        <w:rPr>
          <w:b/>
        </w:rPr>
        <w:tab/>
      </w:r>
      <w:r>
        <w:rPr>
          <w:b/>
        </w:rPr>
        <w:tab/>
      </w:r>
      <w:r>
        <w:rPr>
          <w:b/>
        </w:rPr>
        <w:tab/>
      </w:r>
      <w:r>
        <w:rPr>
          <w:b/>
        </w:rPr>
        <w:tab/>
      </w:r>
      <w:r>
        <w:rPr>
          <w:b/>
        </w:rPr>
        <w:tab/>
      </w:r>
      <w:r>
        <w:rPr>
          <w:b/>
        </w:rPr>
        <w:tab/>
      </w:r>
      <w:r>
        <w:rPr>
          <w:b/>
        </w:rPr>
        <w:tab/>
      </w:r>
    </w:p>
    <w:p w14:paraId="3CB57DEA" w14:textId="77777777" w:rsidR="001C5EE8" w:rsidRDefault="000E134E">
      <w:pPr>
        <w:ind w:left="-5"/>
      </w:pPr>
      <w:r>
        <w:t xml:space="preserve">I am writing to formally object to the inclusion of the 291.03-hectare land submission around </w:t>
      </w:r>
    </w:p>
    <w:p w14:paraId="19AC4949" w14:textId="77777777" w:rsidR="001C5EE8" w:rsidRDefault="000E134E">
      <w:pPr>
        <w:ind w:left="-5"/>
      </w:pPr>
      <w:r>
        <w:t xml:space="preserve">Ashley (12 adjoining sites totalling 291.03 hectares) in the Cheshire East Local Plan / SHELAA. </w:t>
      </w:r>
    </w:p>
    <w:p w14:paraId="01842FBE" w14:textId="77777777" w:rsidR="009C2E0F" w:rsidRDefault="009C2E0F">
      <w:pPr>
        <w:ind w:left="-5"/>
      </w:pPr>
    </w:p>
    <w:p w14:paraId="472844AB" w14:textId="77777777" w:rsidR="007122A2" w:rsidRDefault="009C2E0F">
      <w:pPr>
        <w:ind w:left="-5"/>
      </w:pPr>
      <w:r>
        <w:t xml:space="preserve">This proposal is being made at a time when there is every indication that Climate change is impacting the UK severely and that this </w:t>
      </w:r>
      <w:r w:rsidR="0037725D">
        <w:t>can</w:t>
      </w:r>
      <w:r>
        <w:t xml:space="preserve"> only get worse over the coming years.</w:t>
      </w:r>
    </w:p>
    <w:p w14:paraId="6EDF3A3F" w14:textId="77777777" w:rsidR="0037725D" w:rsidRDefault="00A16B28" w:rsidP="0037725D">
      <w:pPr>
        <w:ind w:left="-5"/>
      </w:pPr>
      <w:r>
        <w:t>Concret</w:t>
      </w:r>
      <w:r w:rsidR="00A3562C">
        <w:t xml:space="preserve">ing over Wash-over Green belt with the knowledge that this will add substantially to degrading the climate and </w:t>
      </w:r>
      <w:r w:rsidR="00D75F26">
        <w:t>increasing</w:t>
      </w:r>
      <w:r w:rsidR="0037725D">
        <w:t xml:space="preserve"> the </w:t>
      </w:r>
      <w:r w:rsidR="00A3562C">
        <w:t>risk off flooding and contamination of local Rivers with run-</w:t>
      </w:r>
      <w:r w:rsidR="0037725D">
        <w:t xml:space="preserve">off is foolhardy given the far more critical issues that will impact everyone if we ignore the warnings we are seeing every year. </w:t>
      </w:r>
    </w:p>
    <w:p w14:paraId="04CA7E4C" w14:textId="77777777" w:rsidR="007122A2" w:rsidRDefault="007122A2">
      <w:pPr>
        <w:ind w:left="-5"/>
      </w:pPr>
    </w:p>
    <w:p w14:paraId="675BE361" w14:textId="77777777" w:rsidR="009C2E0F" w:rsidRDefault="009C2E0F">
      <w:pPr>
        <w:ind w:left="-5"/>
      </w:pPr>
      <w:r>
        <w:t>T</w:t>
      </w:r>
      <w:r w:rsidR="007122A2">
        <w:t xml:space="preserve">he UK is </w:t>
      </w:r>
      <w:r>
        <w:t xml:space="preserve">one of the most Nature depleted Countries in Europe. It should be very clear to everyone especially those in local Government that maintaining Green belt is critical for the future of </w:t>
      </w:r>
      <w:r w:rsidR="00CA5A10">
        <w:t xml:space="preserve">Nature in </w:t>
      </w:r>
      <w:r>
        <w:t>the UK. Green belt</w:t>
      </w:r>
      <w:r w:rsidR="0037725D">
        <w:t>s</w:t>
      </w:r>
      <w:r>
        <w:t xml:space="preserve"> act</w:t>
      </w:r>
      <w:r w:rsidR="0031750D">
        <w:t>s</w:t>
      </w:r>
      <w:r>
        <w:t xml:space="preserve"> as natural carbon sinks, stop</w:t>
      </w:r>
      <w:r w:rsidR="0031750D">
        <w:t>s</w:t>
      </w:r>
      <w:r>
        <w:t xml:space="preserve"> carbon-heavy urban sprawl, and protect</w:t>
      </w:r>
      <w:r w:rsidR="0031750D">
        <w:t>s</w:t>
      </w:r>
      <w:r>
        <w:t xml:space="preserve"> ecosystems that buffer against extreme weather.</w:t>
      </w:r>
      <w:r w:rsidR="0031750D" w:rsidRPr="0031750D">
        <w:t xml:space="preserve"> </w:t>
      </w:r>
      <w:r w:rsidR="0031750D">
        <w:t>Green spaces also preserve habitats, allowing wildlife to adapt and migrate as climate patterns shift.</w:t>
      </w:r>
    </w:p>
    <w:p w14:paraId="4B2EDBCD" w14:textId="77777777" w:rsidR="0031750D" w:rsidRDefault="0031750D">
      <w:pPr>
        <w:ind w:left="-5"/>
      </w:pPr>
    </w:p>
    <w:p w14:paraId="5FB31FF6" w14:textId="77777777" w:rsidR="0031750D" w:rsidRDefault="0031750D" w:rsidP="0031750D">
      <w:pPr>
        <w:ind w:left="0" w:firstLine="0"/>
      </w:pPr>
      <w:r>
        <w:t xml:space="preserve">Ashley has several working Farms including one of the few local Dairies. Preserving working farms close to urban centres shortens food supply chains, reducing the transport emissions tied to feeding. This is essential, particularly as it is widely acknowledged that the UK is nowhere near self-sufficient in </w:t>
      </w:r>
      <w:r w:rsidR="007122A2">
        <w:t xml:space="preserve">Food security. I am astonished that any County Council would consider any Mass Housing proposal that includes Green belt, especially in an area that has been producing </w:t>
      </w:r>
      <w:r w:rsidR="00A3562C">
        <w:t xml:space="preserve">Food, </w:t>
      </w:r>
      <w:r w:rsidR="007122A2">
        <w:t>Crops and Feed</w:t>
      </w:r>
      <w:r w:rsidR="00A3562C">
        <w:t xml:space="preserve"> </w:t>
      </w:r>
      <w:r w:rsidR="007122A2">
        <w:t>s</w:t>
      </w:r>
      <w:r w:rsidR="00A3562C">
        <w:t>tuff</w:t>
      </w:r>
      <w:r w:rsidR="007122A2">
        <w:t xml:space="preserve"> for centuries.  </w:t>
      </w:r>
    </w:p>
    <w:p w14:paraId="75DE0E0F" w14:textId="77777777" w:rsidR="00D7259F" w:rsidRDefault="00D7259F" w:rsidP="0031750D">
      <w:pPr>
        <w:ind w:left="0" w:firstLine="0"/>
      </w:pPr>
    </w:p>
    <w:p w14:paraId="62CE52A7" w14:textId="0EE47B71" w:rsidR="001037EC" w:rsidRDefault="00D7259F" w:rsidP="0031750D">
      <w:pPr>
        <w:ind w:left="0" w:firstLine="0"/>
      </w:pPr>
      <w:r>
        <w:t>It is also very clear from other developments in the area, for example ParkGate and Mere t</w:t>
      </w:r>
      <w:r w:rsidR="00CA5A10">
        <w:t xml:space="preserve">hat any new Housing project </w:t>
      </w:r>
      <w:r>
        <w:t>in this a</w:t>
      </w:r>
      <w:r w:rsidR="00CA5A10">
        <w:t>rea will not create truly affordable housing for local people or create</w:t>
      </w:r>
      <w:r>
        <w:t xml:space="preserve"> the numbers that the Government is looking for. It will </w:t>
      </w:r>
      <w:r w:rsidR="00D75F26">
        <w:t>end up with a Handful of small h</w:t>
      </w:r>
      <w:r>
        <w:t>ouses</w:t>
      </w:r>
      <w:r w:rsidR="00D75F26">
        <w:t xml:space="preserve"> that still fall</w:t>
      </w:r>
      <w:r>
        <w:t xml:space="preserve"> outside normal </w:t>
      </w:r>
      <w:r w:rsidR="00B353FC">
        <w:t>people’s</w:t>
      </w:r>
      <w:r>
        <w:t xml:space="preserve"> finances and the rest</w:t>
      </w:r>
      <w:r w:rsidR="001037EC">
        <w:t xml:space="preserve"> will be high</w:t>
      </w:r>
      <w:r>
        <w:t xml:space="preserve"> end builds that are more </w:t>
      </w:r>
      <w:r w:rsidR="001037EC">
        <w:t>profitable</w:t>
      </w:r>
      <w:r w:rsidR="00A3562C">
        <w:t xml:space="preserve"> for the Builders and the Land </w:t>
      </w:r>
      <w:r w:rsidR="00CA5A10">
        <w:t xml:space="preserve">owner. </w:t>
      </w:r>
      <w:r w:rsidR="00D75F26">
        <w:t>High end housing is not an issue in this Country so why allow Greed to consume Green belt.</w:t>
      </w:r>
    </w:p>
    <w:p w14:paraId="2045BE97" w14:textId="77777777" w:rsidR="001037EC" w:rsidRDefault="001037EC" w:rsidP="0031750D">
      <w:pPr>
        <w:ind w:left="0" w:firstLine="0"/>
      </w:pPr>
    </w:p>
    <w:p w14:paraId="2EAD6C3E" w14:textId="77777777" w:rsidR="001037EC" w:rsidRDefault="001037EC" w:rsidP="0031750D">
      <w:pPr>
        <w:ind w:left="0" w:firstLine="0"/>
      </w:pPr>
      <w:r>
        <w:t>Ashley does not have the infrastructure to support this proposal. The Railway Bridges that have to be crossed to access the Village are centuries old and have been closed several times over the last few years. The Hale Bridge has only just been repaired after being controlled by lights for the best part of a year after the Road sank on one side. The</w:t>
      </w:r>
      <w:r w:rsidR="00A16B28">
        <w:t xml:space="preserve"> Traffic through the village has </w:t>
      </w:r>
      <w:r>
        <w:t xml:space="preserve">increased substantially over the last 5 years and </w:t>
      </w:r>
      <w:r w:rsidR="00A16B28">
        <w:t xml:space="preserve">Castle Mill lane in particular is very dangerous with Cars regularly going through Fences and Hedges. At least one a week in Winter. </w:t>
      </w:r>
    </w:p>
    <w:p w14:paraId="4E1E41A4" w14:textId="77777777" w:rsidR="00C618F2" w:rsidRDefault="00C618F2" w:rsidP="0031750D">
      <w:pPr>
        <w:ind w:left="0" w:firstLine="0"/>
      </w:pPr>
    </w:p>
    <w:p w14:paraId="79C9167A" w14:textId="77777777" w:rsidR="00A16B28" w:rsidRDefault="0037725D" w:rsidP="0031750D">
      <w:pPr>
        <w:ind w:left="0" w:firstLine="0"/>
      </w:pPr>
      <w:r>
        <w:t>There is</w:t>
      </w:r>
      <w:r w:rsidR="000E134E">
        <w:t xml:space="preserve"> no possibility</w:t>
      </w:r>
      <w:r w:rsidR="00A16B28">
        <w:t xml:space="preserve"> that the Lanes from the village will support the amount of traffic associated with a development of this size.</w:t>
      </w:r>
    </w:p>
    <w:p w14:paraId="327047B9" w14:textId="77777777" w:rsidR="00C618F2" w:rsidRDefault="00D75F26" w:rsidP="0031750D">
      <w:pPr>
        <w:ind w:left="0" w:firstLine="0"/>
      </w:pPr>
      <w:r>
        <w:t>This m</w:t>
      </w:r>
      <w:r w:rsidR="00C618F2">
        <w:t>onth alone saw Ashley Rd to Tatton closed for several days and then again closed to Hale which required a diversion of several Mil</w:t>
      </w:r>
      <w:r>
        <w:t>es via Ringway to get to Hale. Quite simply the local roads and Bridges cannot support a development of the size proposed.</w:t>
      </w:r>
    </w:p>
    <w:p w14:paraId="187C525C" w14:textId="77777777" w:rsidR="00A16B28" w:rsidRDefault="00A16B28" w:rsidP="0031750D">
      <w:pPr>
        <w:ind w:left="0" w:firstLine="0"/>
      </w:pPr>
    </w:p>
    <w:p w14:paraId="74705834" w14:textId="77777777" w:rsidR="00A16B28" w:rsidRDefault="00A16B28" w:rsidP="0031750D">
      <w:pPr>
        <w:ind w:left="0" w:firstLine="0"/>
      </w:pPr>
      <w:r>
        <w:t>The Sewag</w:t>
      </w:r>
      <w:r w:rsidR="0037725D">
        <w:t>e Farm is not connected to the United u</w:t>
      </w:r>
      <w:r>
        <w:t xml:space="preserve">tilities system and has to be regularly emptied using a Tanker. </w:t>
      </w:r>
      <w:r w:rsidR="00C618F2">
        <w:t xml:space="preserve">Major work would be required if this proposal went forward. </w:t>
      </w:r>
    </w:p>
    <w:p w14:paraId="14F4B95B" w14:textId="77777777" w:rsidR="00C618F2" w:rsidRDefault="00C618F2" w:rsidP="0031750D">
      <w:pPr>
        <w:ind w:left="0" w:firstLine="0"/>
      </w:pPr>
    </w:p>
    <w:p w14:paraId="0B779248" w14:textId="77777777" w:rsidR="00C618F2" w:rsidRDefault="00C618F2" w:rsidP="0031750D">
      <w:pPr>
        <w:ind w:left="0" w:firstLine="0"/>
      </w:pPr>
      <w:r>
        <w:t>Th</w:t>
      </w:r>
      <w:r w:rsidR="00BB6728">
        <w:t>ere is</w:t>
      </w:r>
      <w:r>
        <w:t xml:space="preserve"> n</w:t>
      </w:r>
      <w:r w:rsidR="00BB6728">
        <w:t>o Bus service,</w:t>
      </w:r>
      <w:r>
        <w:t xml:space="preserve"> and Trains only run once an hour with many being cance</w:t>
      </w:r>
      <w:r w:rsidR="00BB6728">
        <w:t>lled at short notice or run</w:t>
      </w:r>
      <w:r w:rsidR="000E134E">
        <w:t xml:space="preserve"> using</w:t>
      </w:r>
      <w:r w:rsidR="00BB6728">
        <w:t xml:space="preserve"> </w:t>
      </w:r>
      <w:r>
        <w:t>a replacement Bus service</w:t>
      </w:r>
      <w:r w:rsidR="00BB6728">
        <w:t>. Therefore, a Car is essential</w:t>
      </w:r>
      <w:r w:rsidR="0037725D">
        <w:t>,</w:t>
      </w:r>
      <w:r w:rsidR="00BB6728">
        <w:t xml:space="preserve"> which will again </w:t>
      </w:r>
      <w:r w:rsidR="00BB6728">
        <w:lastRenderedPageBreak/>
        <w:t>impact Climate change and fail to meet the Governments targets for reducing emissions and encouraging sustainable living.</w:t>
      </w:r>
    </w:p>
    <w:p w14:paraId="05338CCE" w14:textId="77777777" w:rsidR="0031750D" w:rsidRDefault="0031750D" w:rsidP="00D75F26">
      <w:pPr>
        <w:ind w:left="0" w:firstLine="0"/>
      </w:pPr>
    </w:p>
    <w:p w14:paraId="25AD7A9A" w14:textId="77777777" w:rsidR="0031750D" w:rsidRDefault="0031750D">
      <w:pPr>
        <w:ind w:left="-5"/>
      </w:pPr>
    </w:p>
    <w:p w14:paraId="0B452F87" w14:textId="77777777" w:rsidR="0031750D" w:rsidRDefault="0037725D">
      <w:pPr>
        <w:ind w:left="-5"/>
      </w:pPr>
      <w:r>
        <w:t>In Summary</w:t>
      </w:r>
    </w:p>
    <w:p w14:paraId="783D0FC1" w14:textId="77777777" w:rsidR="001C5EE8" w:rsidRDefault="000E134E">
      <w:pPr>
        <w:spacing w:after="0" w:line="259" w:lineRule="auto"/>
        <w:ind w:left="0" w:firstLine="0"/>
      </w:pPr>
      <w:r>
        <w:t xml:space="preserve"> </w:t>
      </w:r>
    </w:p>
    <w:p w14:paraId="5992446A" w14:textId="77777777" w:rsidR="001C5EE8" w:rsidRDefault="000E134E">
      <w:pPr>
        <w:numPr>
          <w:ilvl w:val="0"/>
          <w:numId w:val="1"/>
        </w:numPr>
        <w:spacing w:after="253" w:line="259" w:lineRule="auto"/>
        <w:ind w:hanging="225"/>
      </w:pPr>
      <w:r>
        <w:t>Conflict with Green Belt Policy (</w:t>
      </w:r>
      <w:r>
        <w:rPr>
          <w:color w:val="0A1B11"/>
        </w:rPr>
        <w:t xml:space="preserve">North Cheshire Green Belt &amp; 'Wash-Over' Status): </w:t>
      </w:r>
    </w:p>
    <w:p w14:paraId="5B578686" w14:textId="77777777" w:rsidR="001C5EE8" w:rsidRDefault="000E134E">
      <w:pPr>
        <w:numPr>
          <w:ilvl w:val="1"/>
          <w:numId w:val="1"/>
        </w:numPr>
        <w:ind w:hanging="360"/>
      </w:pPr>
      <w:r>
        <w:t xml:space="preserve">Wash-Over Green Belt: The parish of Ashley is designated as "wash-over" Green Belt— the most protective form of rural Green Belt classification. </w:t>
      </w:r>
    </w:p>
    <w:p w14:paraId="47D0B1B9" w14:textId="77777777" w:rsidR="001C5EE8" w:rsidRDefault="000E134E">
      <w:pPr>
        <w:numPr>
          <w:ilvl w:val="1"/>
          <w:numId w:val="1"/>
        </w:numPr>
        <w:ind w:hanging="360"/>
      </w:pPr>
      <w:r>
        <w:t xml:space="preserve">Regional Strategic Buffer: Established in the 1950s specifically to prevent urban sprawl, Ashley forms the crucial narrow green buffer separating South Manchester and Trafford (Hale, Hale Barns, Altrincham) from villages and towns in Cheshire East (Mobberley, Knutsford). </w:t>
      </w:r>
    </w:p>
    <w:p w14:paraId="2C3EE764" w14:textId="77777777" w:rsidR="001C5EE8" w:rsidRDefault="000E134E">
      <w:pPr>
        <w:numPr>
          <w:ilvl w:val="1"/>
          <w:numId w:val="1"/>
        </w:numPr>
        <w:ind w:hanging="360"/>
      </w:pPr>
      <w:r>
        <w:t xml:space="preserve">Failure of the National "Grey Belt" Test: Under national policy, Green Belt land can only be considered for release if it meets the definition of "Grey Belt" (previously developed brownfield land or land that makes a negligible contribution to Green Belt purposes). Open, working farmland across Ashley fails this test. </w:t>
      </w:r>
    </w:p>
    <w:p w14:paraId="043FB15C" w14:textId="77777777" w:rsidR="001C5EE8" w:rsidRDefault="000E134E">
      <w:pPr>
        <w:numPr>
          <w:ilvl w:val="1"/>
          <w:numId w:val="1"/>
        </w:numPr>
        <w:ind w:hanging="360"/>
      </w:pPr>
      <w:r>
        <w:t xml:space="preserve">Direct Conflict with Core Green Belt Purposes (NPPF): </w:t>
      </w:r>
    </w:p>
    <w:p w14:paraId="1A83DB95" w14:textId="77777777" w:rsidR="001C5EE8" w:rsidRDefault="000E134E">
      <w:pPr>
        <w:numPr>
          <w:ilvl w:val="2"/>
          <w:numId w:val="1"/>
        </w:numPr>
        <w:ind w:hanging="360"/>
      </w:pPr>
      <w:r>
        <w:rPr>
          <w:i/>
        </w:rPr>
        <w:t>Purpose A (Check Unrestricted Sprawl):</w:t>
      </w:r>
      <w:r>
        <w:t xml:space="preserve"> Serves as the primary barrier preventing the Manchester conurbation from expanding southwards. </w:t>
      </w:r>
    </w:p>
    <w:p w14:paraId="4F8BAFB4" w14:textId="77777777" w:rsidR="001C5EE8" w:rsidRDefault="000E134E">
      <w:pPr>
        <w:numPr>
          <w:ilvl w:val="2"/>
          <w:numId w:val="1"/>
        </w:numPr>
        <w:ind w:hanging="360"/>
      </w:pPr>
      <w:r>
        <w:rPr>
          <w:i/>
        </w:rPr>
        <w:t>Purpose B (Prevent Towns Merging):</w:t>
      </w:r>
      <w:r>
        <w:t xml:space="preserve"> Building across these 291.03 hectares would physically merge Greater Manchester settlements with Cheshire villages and towns. </w:t>
      </w:r>
    </w:p>
    <w:p w14:paraId="3CE07EA8" w14:textId="77777777" w:rsidR="001C5EE8" w:rsidRDefault="000E134E">
      <w:pPr>
        <w:numPr>
          <w:ilvl w:val="2"/>
          <w:numId w:val="1"/>
        </w:numPr>
        <w:spacing w:after="262"/>
        <w:ind w:hanging="360"/>
      </w:pPr>
      <w:r>
        <w:rPr>
          <w:i/>
        </w:rPr>
        <w:t>Purpose C (Safeguard the Countryside):</w:t>
      </w:r>
      <w:r>
        <w:t xml:space="preserve"> Protects active, open agricultural land from suburban encroachment. Protecting this land aligns with national policy to preserve prime agricultural resources.  </w:t>
      </w:r>
    </w:p>
    <w:p w14:paraId="0B67CCF3" w14:textId="77777777" w:rsidR="001C5EE8" w:rsidRDefault="000E134E">
      <w:pPr>
        <w:numPr>
          <w:ilvl w:val="0"/>
          <w:numId w:val="1"/>
        </w:numPr>
        <w:ind w:hanging="225"/>
      </w:pPr>
      <w:r>
        <w:t xml:space="preserve">Sustainable Settlement Hierarchy: Ashley is a small, rural parish with very little public transport, primary infrastructure, medical facilities, or local employment. Allocating large-scale development here violates sustainable development principles, which require growth to be focused on Tier 1 and Tier 2 urban centres. </w:t>
      </w:r>
    </w:p>
    <w:p w14:paraId="282E388E" w14:textId="77777777" w:rsidR="001C5EE8" w:rsidRDefault="000E134E">
      <w:pPr>
        <w:spacing w:after="0" w:line="259" w:lineRule="auto"/>
        <w:ind w:left="0" w:firstLine="0"/>
      </w:pPr>
      <w:r>
        <w:t xml:space="preserve"> </w:t>
      </w:r>
    </w:p>
    <w:p w14:paraId="103C74DC" w14:textId="77777777" w:rsidR="001C5EE8" w:rsidRDefault="000E134E">
      <w:pPr>
        <w:numPr>
          <w:ilvl w:val="0"/>
          <w:numId w:val="1"/>
        </w:numPr>
        <w:ind w:hanging="225"/>
      </w:pPr>
      <w:r>
        <w:t xml:space="preserve">Highways &amp; Safety: The surrounding rural road network, constrained by narrow railway bridges and single-lane pinch points, cannot safely accommodate thousands of additional vehicle movements toward the A538 and M56. </w:t>
      </w:r>
    </w:p>
    <w:p w14:paraId="7A5BC428" w14:textId="77777777" w:rsidR="001C5EE8" w:rsidRDefault="000E134E">
      <w:pPr>
        <w:spacing w:after="0" w:line="259" w:lineRule="auto"/>
        <w:ind w:left="0" w:firstLine="0"/>
      </w:pPr>
      <w:r>
        <w:t xml:space="preserve"> </w:t>
      </w:r>
    </w:p>
    <w:p w14:paraId="2D812120" w14:textId="77777777" w:rsidR="001C5EE8" w:rsidRDefault="000E134E">
      <w:pPr>
        <w:numPr>
          <w:ilvl w:val="0"/>
          <w:numId w:val="1"/>
        </w:numPr>
        <w:ind w:hanging="225"/>
      </w:pPr>
      <w:r>
        <w:t xml:space="preserve">Inadequate Rail Connections: Ashley train station lacks the service capacity needed for sustainable transit. It operates on a maximum frequency of just one train per hour in each direction. Furthermore, with the planned new station at Cheadle progressing (it has planning permission and is fully funded), prospective service reallocations would reduce Ashley’s service frequency to a single train every two hours, rendering rail commuting unfeasible for new residents. In March 2026 Keir Mather MP, parliamentary under-secretary of state in the Department for Transport, stated, in Parliament, "The Rail North partnership board is the decision-making board for service considerations for Northern Trains Ltd and TransPennine trains, and is one part of the process that needs to take place to enable the service change. It is now evident that service change, including reducing the frequency of services that stop at Ashley and Plumley, is the only way that an hourly stop at a new station at Cheadle could be accommodated.” </w:t>
      </w:r>
    </w:p>
    <w:p w14:paraId="4DE0A65C" w14:textId="77777777" w:rsidR="001C5EE8" w:rsidRDefault="000E134E">
      <w:pPr>
        <w:spacing w:after="0" w:line="259" w:lineRule="auto"/>
        <w:ind w:left="0" w:firstLine="0"/>
      </w:pPr>
      <w:r>
        <w:t xml:space="preserve"> </w:t>
      </w:r>
    </w:p>
    <w:p w14:paraId="3E5AFA2E" w14:textId="77777777" w:rsidR="001C5EE8" w:rsidRDefault="000E134E">
      <w:pPr>
        <w:numPr>
          <w:ilvl w:val="0"/>
          <w:numId w:val="1"/>
        </w:numPr>
        <w:ind w:hanging="225"/>
      </w:pPr>
      <w:r>
        <w:t xml:space="preserve">The land falls directly within flight path operational noise contours and bird-strike hazard safety zones, making high-density housing unsuitable. </w:t>
      </w:r>
      <w:r w:rsidR="00BB6728">
        <w:t xml:space="preserve">Ashley is also directly underneath the standard overshoot procedure route for Runway 23 right. </w:t>
      </w:r>
    </w:p>
    <w:p w14:paraId="433C799F" w14:textId="77777777" w:rsidR="001C5EE8" w:rsidRDefault="000E134E">
      <w:pPr>
        <w:spacing w:after="0" w:line="259" w:lineRule="auto"/>
        <w:ind w:left="0" w:firstLine="0"/>
      </w:pPr>
      <w:r>
        <w:t xml:space="preserve"> </w:t>
      </w:r>
    </w:p>
    <w:p w14:paraId="0212AA79" w14:textId="77777777" w:rsidR="001C5EE8" w:rsidRDefault="000E134E">
      <w:pPr>
        <w:numPr>
          <w:ilvl w:val="0"/>
          <w:numId w:val="1"/>
        </w:numPr>
        <w:ind w:hanging="225"/>
      </w:pPr>
      <w:r>
        <w:lastRenderedPageBreak/>
        <w:t xml:space="preserve">Drainage &amp; Utilities: The area lacks deep sewer, grid, and surface water drainage capacity, presenting high surface-water flood risks to the River Bollin catchment. </w:t>
      </w:r>
    </w:p>
    <w:p w14:paraId="2122920A" w14:textId="77777777" w:rsidR="001C5EE8" w:rsidRDefault="000E134E">
      <w:pPr>
        <w:spacing w:after="0" w:line="259" w:lineRule="auto"/>
        <w:ind w:left="0" w:firstLine="0"/>
      </w:pPr>
      <w:r>
        <w:t xml:space="preserve"> </w:t>
      </w:r>
    </w:p>
    <w:p w14:paraId="4649584F" w14:textId="77777777" w:rsidR="001C5EE8" w:rsidRDefault="000E134E">
      <w:pPr>
        <w:numPr>
          <w:ilvl w:val="0"/>
          <w:numId w:val="1"/>
        </w:numPr>
        <w:ind w:hanging="225"/>
      </w:pPr>
      <w:r>
        <w:t xml:space="preserve">Loss of High-Grade Agricultural Land (BMV): Independent soil surveys (including HS2 Phase 2b data) confirm the land contains Grade 2 and Subgrade 3a Best and Most Versatile (BMV) agricultural land, which national policy protects for food security. </w:t>
      </w:r>
    </w:p>
    <w:p w14:paraId="06CDB4E8" w14:textId="77777777" w:rsidR="001C5EE8" w:rsidRDefault="000E134E">
      <w:pPr>
        <w:spacing w:after="0" w:line="259" w:lineRule="auto"/>
        <w:ind w:left="0" w:firstLine="0"/>
      </w:pPr>
      <w:r>
        <w:t xml:space="preserve"> </w:t>
      </w:r>
    </w:p>
    <w:p w14:paraId="1CA1D278" w14:textId="77777777" w:rsidR="001C5EE8" w:rsidRDefault="000E134E">
      <w:pPr>
        <w:numPr>
          <w:ilvl w:val="0"/>
          <w:numId w:val="1"/>
        </w:numPr>
        <w:ind w:hanging="225"/>
      </w:pPr>
      <w:r>
        <w:t xml:space="preserve">Environmental Heritage Harm: Development would cause irreparable harm to the Bollin Valley and Parklands LLD, Rostherne/Tatton Park LLD, Cotterill Clough Nature Reserve, ancient woodlands, protected species corridors, and the setting of 19 Grade II listed buildings (including Ashley Hall). </w:t>
      </w:r>
    </w:p>
    <w:p w14:paraId="07140330" w14:textId="77777777" w:rsidR="001C5EE8" w:rsidRDefault="000E134E">
      <w:pPr>
        <w:spacing w:after="0" w:line="259" w:lineRule="auto"/>
        <w:ind w:left="0" w:firstLine="0"/>
      </w:pPr>
      <w:r>
        <w:t xml:space="preserve"> </w:t>
      </w:r>
    </w:p>
    <w:p w14:paraId="25CB07C1" w14:textId="77777777" w:rsidR="001C5EE8" w:rsidRDefault="000E134E">
      <w:pPr>
        <w:ind w:left="-5"/>
      </w:pPr>
      <w:r>
        <w:t xml:space="preserve">I request that Cheshire East Council formally classify this 291.03-hectare area (12 adjoining sites totalling 291.03 hectares) as Unsuitable and Undeliverable in the SHELAA assessment. </w:t>
      </w:r>
    </w:p>
    <w:p w14:paraId="78F53D3E" w14:textId="77777777" w:rsidR="001C5EE8" w:rsidRDefault="000E134E">
      <w:pPr>
        <w:spacing w:after="0" w:line="259" w:lineRule="auto"/>
        <w:ind w:left="0" w:firstLine="0"/>
      </w:pPr>
      <w:r>
        <w:t xml:space="preserve"> </w:t>
      </w:r>
    </w:p>
    <w:p w14:paraId="733B7453" w14:textId="77777777" w:rsidR="00D75F26" w:rsidRDefault="00D75F26">
      <w:pPr>
        <w:spacing w:after="0" w:line="259" w:lineRule="auto"/>
        <w:ind w:left="0" w:firstLine="0"/>
      </w:pPr>
    </w:p>
    <w:p w14:paraId="4AEA7748" w14:textId="77777777" w:rsidR="00D75F26" w:rsidRDefault="00D75F26">
      <w:pPr>
        <w:spacing w:after="0" w:line="259" w:lineRule="auto"/>
        <w:ind w:left="0" w:firstLine="0"/>
      </w:pPr>
      <w:r>
        <w:t>Kind regards</w:t>
      </w:r>
    </w:p>
    <w:p w14:paraId="1FEEEAFC" w14:textId="77777777" w:rsidR="00D75F26" w:rsidRDefault="00D75F26">
      <w:pPr>
        <w:spacing w:after="0" w:line="259" w:lineRule="auto"/>
        <w:ind w:left="0" w:firstLine="0"/>
      </w:pPr>
    </w:p>
    <w:p w14:paraId="2BB9999E" w14:textId="77777777" w:rsidR="00D75F26" w:rsidRDefault="00D75F26">
      <w:pPr>
        <w:spacing w:after="0" w:line="259" w:lineRule="auto"/>
        <w:ind w:left="0" w:firstLine="0"/>
      </w:pPr>
      <w:r>
        <w:t>Robert Watson</w:t>
      </w:r>
    </w:p>
    <w:sectPr w:rsidR="00D75F26">
      <w:footerReference w:type="even" r:id="rId7"/>
      <w:footerReference w:type="default" r:id="rId8"/>
      <w:footerReference w:type="first" r:id="rId9"/>
      <w:pgSz w:w="11904" w:h="16838"/>
      <w:pgMar w:top="672" w:right="1460" w:bottom="758"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C395A4" w14:textId="77777777" w:rsidR="001B69A5" w:rsidRDefault="001B69A5" w:rsidP="00B353FC">
      <w:pPr>
        <w:spacing w:after="0" w:line="240" w:lineRule="auto"/>
      </w:pPr>
      <w:r>
        <w:separator/>
      </w:r>
    </w:p>
  </w:endnote>
  <w:endnote w:type="continuationSeparator" w:id="0">
    <w:p w14:paraId="6CF08D82" w14:textId="77777777" w:rsidR="001B69A5" w:rsidRDefault="001B69A5" w:rsidP="00B353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58A3F" w14:textId="71BA6B5C" w:rsidR="00B353FC" w:rsidRDefault="00B353FC">
    <w:pPr>
      <w:pStyle w:val="Footer"/>
    </w:pPr>
    <w:r>
      <w:rPr>
        <w:noProof/>
      </w:rPr>
      <mc:AlternateContent>
        <mc:Choice Requires="wps">
          <w:drawing>
            <wp:anchor distT="0" distB="0" distL="0" distR="0" simplePos="0" relativeHeight="251659264" behindDoc="0" locked="0" layoutInCell="1" allowOverlap="1" wp14:anchorId="17B5AE3F" wp14:editId="4E98D83E">
              <wp:simplePos x="635" y="635"/>
              <wp:positionH relativeFrom="page">
                <wp:align>center</wp:align>
              </wp:positionH>
              <wp:positionV relativeFrom="page">
                <wp:align>bottom</wp:align>
              </wp:positionV>
              <wp:extent cx="686435" cy="371475"/>
              <wp:effectExtent l="0" t="0" r="18415" b="0"/>
              <wp:wrapNone/>
              <wp:docPr id="1595866834" name="Text Box 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71475"/>
                      </a:xfrm>
                      <a:prstGeom prst="rect">
                        <a:avLst/>
                      </a:prstGeom>
                      <a:noFill/>
                      <a:ln>
                        <a:noFill/>
                      </a:ln>
                    </wps:spPr>
                    <wps:txbx>
                      <w:txbxContent>
                        <w:p w14:paraId="083ED9B8" w14:textId="6E331267" w:rsidR="00B353FC" w:rsidRPr="00B353FC" w:rsidRDefault="00B353FC" w:rsidP="00B353FC">
                          <w:pPr>
                            <w:spacing w:after="0"/>
                            <w:rPr>
                              <w:rFonts w:ascii="Arial" w:eastAsia="Arial" w:hAnsi="Arial" w:cs="Arial"/>
                              <w:noProof/>
                              <w:color w:val="003EC8"/>
                              <w:szCs w:val="24"/>
                            </w:rPr>
                          </w:pPr>
                          <w:r w:rsidRPr="00B353FC">
                            <w:rPr>
                              <w:rFonts w:ascii="Arial" w:eastAsia="Arial" w:hAnsi="Arial" w:cs="Arial"/>
                              <w:noProof/>
                              <w:color w:val="003EC8"/>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7B5AE3F" id="_x0000_t202" coordsize="21600,21600" o:spt="202" path="m,l,21600r21600,l21600,xe">
              <v:stroke joinstyle="miter"/>
              <v:path gradientshapeok="t" o:connecttype="rect"/>
            </v:shapetype>
            <v:shape id="Text Box 2" o:spid="_x0000_s1026" type="#_x0000_t202" alt="OFFICIAL" style="position:absolute;left:0;text-align:left;margin-left:0;margin-top:0;width:54.05pt;height:29.2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" filled="f" stroked="f">
              <v:fill o:detectmouseclick="t"/>
              <v:textbox style="mso-fit-shape-to-text:t" inset="0,0,0,15pt">
                <w:txbxContent>
                  <w:p w14:paraId="083ED9B8" w14:textId="6E331267" w:rsidR="00B353FC" w:rsidRPr="00B353FC" w:rsidRDefault="00B353FC" w:rsidP="00B353FC">
                    <w:pPr>
                      <w:spacing w:after="0"/>
                      <w:rPr>
                        <w:rFonts w:ascii="Arial" w:eastAsia="Arial" w:hAnsi="Arial" w:cs="Arial"/>
                        <w:noProof/>
                        <w:color w:val="003EC8"/>
                        <w:szCs w:val="24"/>
                      </w:rPr>
                    </w:pPr>
                    <w:r w:rsidRPr="00B353FC">
                      <w:rPr>
                        <w:rFonts w:ascii="Arial" w:eastAsia="Arial" w:hAnsi="Arial" w:cs="Arial"/>
                        <w:noProof/>
                        <w:color w:val="003EC8"/>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5252A" w14:textId="70A41134" w:rsidR="00B353FC" w:rsidRDefault="00B353FC">
    <w:pPr>
      <w:pStyle w:val="Footer"/>
    </w:pPr>
    <w:r>
      <w:rPr>
        <w:noProof/>
      </w:rPr>
      <mc:AlternateContent>
        <mc:Choice Requires="wps">
          <w:drawing>
            <wp:anchor distT="0" distB="0" distL="0" distR="0" simplePos="0" relativeHeight="251660288" behindDoc="0" locked="0" layoutInCell="1" allowOverlap="1" wp14:anchorId="6134FC10" wp14:editId="20AA6994">
              <wp:simplePos x="914400" y="10067925"/>
              <wp:positionH relativeFrom="page">
                <wp:align>center</wp:align>
              </wp:positionH>
              <wp:positionV relativeFrom="page">
                <wp:align>bottom</wp:align>
              </wp:positionV>
              <wp:extent cx="686435" cy="371475"/>
              <wp:effectExtent l="0" t="0" r="18415" b="0"/>
              <wp:wrapNone/>
              <wp:docPr id="2094149098" name="Text Box 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71475"/>
                      </a:xfrm>
                      <a:prstGeom prst="rect">
                        <a:avLst/>
                      </a:prstGeom>
                      <a:noFill/>
                      <a:ln>
                        <a:noFill/>
                      </a:ln>
                    </wps:spPr>
                    <wps:txbx>
                      <w:txbxContent>
                        <w:p w14:paraId="689D6ED0" w14:textId="7AB118D8" w:rsidR="00B353FC" w:rsidRPr="00B353FC" w:rsidRDefault="00B353FC" w:rsidP="00B353FC">
                          <w:pPr>
                            <w:spacing w:after="0"/>
                            <w:rPr>
                              <w:rFonts w:ascii="Arial" w:eastAsia="Arial" w:hAnsi="Arial" w:cs="Arial"/>
                              <w:noProof/>
                              <w:color w:val="003EC8"/>
                              <w:szCs w:val="24"/>
                            </w:rPr>
                          </w:pPr>
                          <w:r w:rsidRPr="00B353FC">
                            <w:rPr>
                              <w:rFonts w:ascii="Arial" w:eastAsia="Arial" w:hAnsi="Arial" w:cs="Arial"/>
                              <w:noProof/>
                              <w:color w:val="003EC8"/>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134FC10" id="_x0000_t202" coordsize="21600,21600" o:spt="202" path="m,l,21600r21600,l21600,xe">
              <v:stroke joinstyle="miter"/>
              <v:path gradientshapeok="t" o:connecttype="rect"/>
            </v:shapetype>
            <v:shape id="Text Box 3" o:spid="_x0000_s1027" type="#_x0000_t202" alt="OFFICIAL" style="position:absolute;left:0;text-align:left;margin-left:0;margin-top:0;width:54.05pt;height:29.2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" filled="f" stroked="f">
              <v:fill o:detectmouseclick="t"/>
              <v:textbox style="mso-fit-shape-to-text:t" inset="0,0,0,15pt">
                <w:txbxContent>
                  <w:p w14:paraId="689D6ED0" w14:textId="7AB118D8" w:rsidR="00B353FC" w:rsidRPr="00B353FC" w:rsidRDefault="00B353FC" w:rsidP="00B353FC">
                    <w:pPr>
                      <w:spacing w:after="0"/>
                      <w:rPr>
                        <w:rFonts w:ascii="Arial" w:eastAsia="Arial" w:hAnsi="Arial" w:cs="Arial"/>
                        <w:noProof/>
                        <w:color w:val="003EC8"/>
                        <w:szCs w:val="24"/>
                      </w:rPr>
                    </w:pPr>
                    <w:r w:rsidRPr="00B353FC">
                      <w:rPr>
                        <w:rFonts w:ascii="Arial" w:eastAsia="Arial" w:hAnsi="Arial" w:cs="Arial"/>
                        <w:noProof/>
                        <w:color w:val="003EC8"/>
                        <w:szCs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6C20B" w14:textId="39C5455C" w:rsidR="00B353FC" w:rsidRDefault="00B353FC">
    <w:pPr>
      <w:pStyle w:val="Footer"/>
    </w:pPr>
    <w:r>
      <w:rPr>
        <w:noProof/>
      </w:rPr>
      <mc:AlternateContent>
        <mc:Choice Requires="wps">
          <w:drawing>
            <wp:anchor distT="0" distB="0" distL="0" distR="0" simplePos="0" relativeHeight="251658240" behindDoc="0" locked="0" layoutInCell="1" allowOverlap="1" wp14:anchorId="6002BB61" wp14:editId="45E47D4F">
              <wp:simplePos x="635" y="635"/>
              <wp:positionH relativeFrom="page">
                <wp:align>center</wp:align>
              </wp:positionH>
              <wp:positionV relativeFrom="page">
                <wp:align>bottom</wp:align>
              </wp:positionV>
              <wp:extent cx="686435" cy="371475"/>
              <wp:effectExtent l="0" t="0" r="18415" b="0"/>
              <wp:wrapNone/>
              <wp:docPr id="1092786850" name="Text Box 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71475"/>
                      </a:xfrm>
                      <a:prstGeom prst="rect">
                        <a:avLst/>
                      </a:prstGeom>
                      <a:noFill/>
                      <a:ln>
                        <a:noFill/>
                      </a:ln>
                    </wps:spPr>
                    <wps:txbx>
                      <w:txbxContent>
                        <w:p w14:paraId="4399DC2C" w14:textId="00A05A88" w:rsidR="00B353FC" w:rsidRPr="00B353FC" w:rsidRDefault="00B353FC" w:rsidP="00B353FC">
                          <w:pPr>
                            <w:spacing w:after="0"/>
                            <w:rPr>
                              <w:rFonts w:ascii="Arial" w:eastAsia="Arial" w:hAnsi="Arial" w:cs="Arial"/>
                              <w:noProof/>
                              <w:color w:val="003EC8"/>
                              <w:szCs w:val="24"/>
                            </w:rPr>
                          </w:pPr>
                          <w:r w:rsidRPr="00B353FC">
                            <w:rPr>
                              <w:rFonts w:ascii="Arial" w:eastAsia="Arial" w:hAnsi="Arial" w:cs="Arial"/>
                              <w:noProof/>
                              <w:color w:val="003EC8"/>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002BB61" id="_x0000_t202" coordsize="21600,21600" o:spt="202" path="m,l,21600r21600,l21600,xe">
              <v:stroke joinstyle="miter"/>
              <v:path gradientshapeok="t" o:connecttype="rect"/>
            </v:shapetype>
            <v:shape id="Text Box 1" o:spid="_x0000_s1028" type="#_x0000_t202" alt="OFFICIAL" style="position:absolute;left:0;text-align:left;margin-left:0;margin-top:0;width:54.05pt;height:29.2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" filled="f" stroked="f">
              <v:fill o:detectmouseclick="t"/>
              <v:textbox style="mso-fit-shape-to-text:t" inset="0,0,0,15pt">
                <w:txbxContent>
                  <w:p w14:paraId="4399DC2C" w14:textId="00A05A88" w:rsidR="00B353FC" w:rsidRPr="00B353FC" w:rsidRDefault="00B353FC" w:rsidP="00B353FC">
                    <w:pPr>
                      <w:spacing w:after="0"/>
                      <w:rPr>
                        <w:rFonts w:ascii="Arial" w:eastAsia="Arial" w:hAnsi="Arial" w:cs="Arial"/>
                        <w:noProof/>
                        <w:color w:val="003EC8"/>
                        <w:szCs w:val="24"/>
                      </w:rPr>
                    </w:pPr>
                    <w:r w:rsidRPr="00B353FC">
                      <w:rPr>
                        <w:rFonts w:ascii="Arial" w:eastAsia="Arial" w:hAnsi="Arial" w:cs="Arial"/>
                        <w:noProof/>
                        <w:color w:val="003EC8"/>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7D92C9" w14:textId="77777777" w:rsidR="001B69A5" w:rsidRDefault="001B69A5" w:rsidP="00B353FC">
      <w:pPr>
        <w:spacing w:after="0" w:line="240" w:lineRule="auto"/>
      </w:pPr>
      <w:r>
        <w:separator/>
      </w:r>
    </w:p>
  </w:footnote>
  <w:footnote w:type="continuationSeparator" w:id="0">
    <w:p w14:paraId="7BBF264E" w14:textId="77777777" w:rsidR="001B69A5" w:rsidRDefault="001B69A5" w:rsidP="00B353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37066C"/>
    <w:multiLevelType w:val="hybridMultilevel"/>
    <w:tmpl w:val="31CE05B4"/>
    <w:lvl w:ilvl="0" w:tplc="1D102DA0">
      <w:start w:val="1"/>
      <w:numFmt w:val="decimal"/>
      <w:lvlText w:val="%1."/>
      <w:lvlJc w:val="left"/>
      <w:pPr>
        <w:ind w:left="225"/>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C8AABAE2">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7004B98">
      <w:start w:val="1"/>
      <w:numFmt w:val="bullet"/>
      <w:lvlText w:val="o"/>
      <w:lvlJc w:val="left"/>
      <w:pPr>
        <w:ind w:left="144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3" w:tplc="7C44C6E4">
      <w:start w:val="1"/>
      <w:numFmt w:val="bullet"/>
      <w:lvlText w:val="•"/>
      <w:lvlJc w:val="left"/>
      <w:pPr>
        <w:ind w:left="216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4" w:tplc="BE22958E">
      <w:start w:val="1"/>
      <w:numFmt w:val="bullet"/>
      <w:lvlText w:val="o"/>
      <w:lvlJc w:val="left"/>
      <w:pPr>
        <w:ind w:left="288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5" w:tplc="F19C8F70">
      <w:start w:val="1"/>
      <w:numFmt w:val="bullet"/>
      <w:lvlText w:val="▪"/>
      <w:lvlJc w:val="left"/>
      <w:pPr>
        <w:ind w:left="360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6" w:tplc="3CB450C6">
      <w:start w:val="1"/>
      <w:numFmt w:val="bullet"/>
      <w:lvlText w:val="•"/>
      <w:lvlJc w:val="left"/>
      <w:pPr>
        <w:ind w:left="432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7" w:tplc="485C40EA">
      <w:start w:val="1"/>
      <w:numFmt w:val="bullet"/>
      <w:lvlText w:val="o"/>
      <w:lvlJc w:val="left"/>
      <w:pPr>
        <w:ind w:left="504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8" w:tplc="B0CAE392">
      <w:start w:val="1"/>
      <w:numFmt w:val="bullet"/>
      <w:lvlText w:val="▪"/>
      <w:lvlJc w:val="left"/>
      <w:pPr>
        <w:ind w:left="576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abstractNum>
  <w:num w:numId="1" w16cid:durableId="8637862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5EE8"/>
    <w:rsid w:val="000E134E"/>
    <w:rsid w:val="001037EC"/>
    <w:rsid w:val="00156FFA"/>
    <w:rsid w:val="001B69A5"/>
    <w:rsid w:val="001C5EE8"/>
    <w:rsid w:val="00303BE0"/>
    <w:rsid w:val="0031750D"/>
    <w:rsid w:val="0037725D"/>
    <w:rsid w:val="00450036"/>
    <w:rsid w:val="0064667C"/>
    <w:rsid w:val="007122A2"/>
    <w:rsid w:val="009C2E0F"/>
    <w:rsid w:val="009F3A85"/>
    <w:rsid w:val="00A16B28"/>
    <w:rsid w:val="00A3562C"/>
    <w:rsid w:val="00B353FC"/>
    <w:rsid w:val="00BB6728"/>
    <w:rsid w:val="00C618F2"/>
    <w:rsid w:val="00CA5A10"/>
    <w:rsid w:val="00D7259F"/>
    <w:rsid w:val="00D75F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F7C1B"/>
  <w15:docId w15:val="{D66397C2-DF06-4E42-8C0B-827BDE9D7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48" w:lineRule="auto"/>
      <w:ind w:left="10" w:hanging="10"/>
    </w:pPr>
    <w:rPr>
      <w:rFonts w:ascii="Garamond" w:eastAsia="Garamond" w:hAnsi="Garamond" w:cs="Garamond"/>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B353FC"/>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53FC"/>
    <w:rPr>
      <w:rFonts w:ascii="Garamond" w:eastAsia="Garamond" w:hAnsi="Garamond" w:cs="Garamond"/>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ef975da0-2206-4296-8b08-8eab8a965a3b}" enabled="1" method="Privileged" siteId="{cdb92d10-23cb-4ac1-a9b3-34f4faaa2851}" contentBits="2" removed="0"/>
</clbl:labelList>
</file>

<file path=docProps/app.xml><?xml version="1.0" encoding="utf-8"?>
<Properties xmlns="http://schemas.openxmlformats.org/officeDocument/2006/extended-properties" xmlns:vt="http://schemas.openxmlformats.org/officeDocument/2006/docPropsVTypes">
  <Template>Normal</Template>
  <TotalTime>11</TotalTime>
  <Pages>3</Pages>
  <Words>1179</Words>
  <Characters>6722</Characters>
  <Application>Microsoft Office Word</Application>
  <DocSecurity>4</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dc:creator>
  <cp:keywords/>
  <cp:lastModifiedBy>GRASE-JURKENAS, Yelena</cp:lastModifiedBy>
  <cp:revision>2</cp:revision>
  <dcterms:created xsi:type="dcterms:W3CDTF">2026-09-18T10:52:00Z</dcterms:created>
  <dcterms:modified xsi:type="dcterms:W3CDTF">2026-09-18T10:52:00Z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41229aa2,5f1efed2,7cd22dea</vt:lpwstr>
  </property>
  <property fmtid="{D5CDD505-2E9C-101B-9397-08002B2CF9AE}" pid="3" name="ClassificationContentMarkingFooterFontProps">
    <vt:lpwstr>#003ec8,12,Arial</vt:lpwstr>
  </property>
  <property fmtid="{D5CDD505-2E9C-101B-9397-08002B2CF9AE}" pid="4" name="ClassificationContentMarkingFooterText">
    <vt:lpwstr>OFFICIAL</vt:lpwstr>
  </property>
</Properties>
</file>