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531E20" w14:textId="77777777" w:rsidR="00C03BF5" w:rsidRDefault="0045319B">
      <w:pPr>
        <w:spacing w:after="60" w:line="300" w:lineRule="auto"/>
      </w:pPr>
      <w:r>
        <w:rPr>
          <w:b/>
          <w:bCs/>
          <w:color w:val="1F3864"/>
          <w:spacing w:val="50"/>
          <w:sz w:val="20"/>
          <w:szCs w:val="20"/>
        </w:rPr>
        <w:t>LOCAL PLAN SCOPING CONSULTATION</w:t>
      </w:r>
    </w:p>
    <w:p w14:paraId="7BB788B0" w14:textId="77777777" w:rsidR="00C03BF5" w:rsidRDefault="0045319B">
      <w:pPr>
        <w:spacing w:after="40" w:line="300" w:lineRule="auto"/>
      </w:pPr>
      <w:r>
        <w:rPr>
          <w:b/>
          <w:bCs/>
          <w:sz w:val="34"/>
          <w:szCs w:val="34"/>
        </w:rPr>
        <w:t>Local homes, local jobs</w:t>
      </w:r>
    </w:p>
    <w:p w14:paraId="4B03CAB0" w14:textId="77777777" w:rsidR="00C03BF5" w:rsidRDefault="0045319B">
      <w:pPr>
        <w:spacing w:after="200" w:line="300" w:lineRule="auto"/>
      </w:pPr>
      <w:r>
        <w:rPr>
          <w:color w:val="555555"/>
          <w:sz w:val="24"/>
          <w:szCs w:val="24"/>
        </w:rPr>
        <w:t>A rural employer’s response — Matthew Pearce</w:t>
      </w:r>
    </w:p>
    <w:p w14:paraId="6B839A6D" w14:textId="77777777" w:rsidR="00C03BF5" w:rsidRDefault="00C03BF5">
      <w:pPr>
        <w:pBdr>
          <w:bottom w:val="single" w:sz="18" w:space="4" w:color="1F3864"/>
        </w:pBdr>
        <w:spacing w:after="200"/>
      </w:pPr>
    </w:p>
    <w:p w14:paraId="45B15517" w14:textId="1F35CA48" w:rsidR="00C03BF5" w:rsidRDefault="0045319B">
      <w:pPr>
        <w:spacing w:after="180" w:line="300" w:lineRule="auto"/>
      </w:pPr>
      <w:r>
        <w:rPr>
          <w:sz w:val="20"/>
          <w:szCs w:val="20"/>
        </w:rPr>
        <w:t xml:space="preserve">Strategic Planning Team, Cheshire East </w:t>
      </w:r>
      <w:r w:rsidR="00F56462">
        <w:rPr>
          <w:sz w:val="20"/>
          <w:szCs w:val="20"/>
        </w:rPr>
        <w:t xml:space="preserve">Council </w:t>
      </w:r>
      <w:proofErr w:type="gramStart"/>
      <w:r w:rsidR="00F56462">
        <w:rPr>
          <w:sz w:val="20"/>
          <w:szCs w:val="20"/>
        </w:rPr>
        <w:t>·</w:t>
      </w:r>
      <w:r>
        <w:rPr>
          <w:sz w:val="20"/>
          <w:szCs w:val="20"/>
        </w:rPr>
        <w:t xml:space="preserve">  localplan@cheshireeast.gov.uk</w:t>
      </w:r>
      <w:proofErr w:type="gramEnd"/>
    </w:p>
    <w:p w14:paraId="3F1A1AD6" w14:textId="77777777" w:rsidR="00C03BF5" w:rsidRDefault="0045319B">
      <w:pPr>
        <w:spacing w:after="260" w:line="300" w:lineRule="auto"/>
      </w:pPr>
      <w:r>
        <w:rPr>
          <w:sz w:val="20"/>
          <w:szCs w:val="20"/>
        </w:rPr>
        <w:t>28 August 2026</w:t>
      </w:r>
    </w:p>
    <w:p w14:paraId="67846885" w14:textId="77777777" w:rsidR="00C03BF5" w:rsidRDefault="0045319B">
      <w:pPr>
        <w:pBdr>
          <w:top w:val="single" w:sz="4" w:space="8" w:color="1F3864"/>
          <w:left w:val="single" w:sz="4" w:space="8" w:color="1F3864"/>
          <w:bottom w:val="single" w:sz="4" w:space="8" w:color="1F3864"/>
          <w:right w:val="single" w:sz="4" w:space="8" w:color="1F3864"/>
        </w:pBdr>
        <w:spacing w:before="120" w:after="300" w:line="300" w:lineRule="auto"/>
      </w:pPr>
      <w:r>
        <w:rPr>
          <w:b/>
          <w:bCs/>
          <w:color w:val="1F3864"/>
        </w:rPr>
        <w:t>Affordable local housing is economic infrastructure. If younger employees cannot live within reach of rural work, recruitment gets harder, journeys get longer, and rural businesses carry the cost.</w:t>
      </w:r>
    </w:p>
    <w:p w14:paraId="5DAA9BEB" w14:textId="77777777" w:rsidR="00C03BF5" w:rsidRDefault="0045319B">
      <w:pPr>
        <w:spacing w:before="320" w:after="60" w:line="300" w:lineRule="auto"/>
      </w:pPr>
      <w:r>
        <w:rPr>
          <w:b/>
          <w:bCs/>
          <w:caps/>
          <w:color w:val="1F3864"/>
          <w:spacing w:val="30"/>
          <w:sz w:val="24"/>
          <w:szCs w:val="24"/>
        </w:rPr>
        <w:t>Interest declared</w:t>
      </w:r>
    </w:p>
    <w:p w14:paraId="752C6BE5" w14:textId="77777777" w:rsidR="00C03BF5" w:rsidRDefault="00C03BF5">
      <w:pPr>
        <w:pBdr>
          <w:bottom w:val="single" w:sz="6" w:space="4" w:color="1F3864"/>
        </w:pBdr>
        <w:spacing w:after="140"/>
      </w:pPr>
    </w:p>
    <w:p w14:paraId="4434351D" w14:textId="77777777" w:rsidR="00C03BF5" w:rsidRDefault="0045319B">
      <w:pPr>
        <w:spacing w:after="180" w:line="300" w:lineRule="auto"/>
      </w:pPr>
      <w:r>
        <w:t xml:space="preserve">I live and work in Haughton and I am a director of a rural business based in the village. My family owns land in Haughton, some of it near parcels the Council is considering. I declare that connection and I promote no site. I write about the labour market, because that is the part of </w:t>
      </w:r>
      <w:proofErr w:type="gramStart"/>
      <w:r>
        <w:t>this</w:t>
      </w:r>
      <w:proofErr w:type="gramEnd"/>
      <w:r>
        <w:t xml:space="preserve"> I deal with in practice.</w:t>
      </w:r>
    </w:p>
    <w:p w14:paraId="21E67C5E" w14:textId="77777777" w:rsidR="00C03BF5" w:rsidRDefault="0045319B">
      <w:pPr>
        <w:spacing w:before="320" w:after="60" w:line="300" w:lineRule="auto"/>
      </w:pPr>
      <w:proofErr w:type="gramStart"/>
      <w:r>
        <w:rPr>
          <w:b/>
          <w:bCs/>
          <w:caps/>
          <w:color w:val="1F3864"/>
          <w:spacing w:val="30"/>
          <w:sz w:val="24"/>
          <w:szCs w:val="24"/>
        </w:rPr>
        <w:t>1  The</w:t>
      </w:r>
      <w:proofErr w:type="gramEnd"/>
      <w:r>
        <w:rPr>
          <w:b/>
          <w:bCs/>
          <w:caps/>
          <w:color w:val="1F3864"/>
          <w:spacing w:val="30"/>
          <w:sz w:val="24"/>
          <w:szCs w:val="24"/>
        </w:rPr>
        <w:t xml:space="preserve"> recruitment problem is a housing problem</w:t>
      </w:r>
    </w:p>
    <w:p w14:paraId="223DEC08" w14:textId="77777777" w:rsidR="00C03BF5" w:rsidRDefault="00C03BF5">
      <w:pPr>
        <w:pBdr>
          <w:bottom w:val="single" w:sz="6" w:space="4" w:color="1F3864"/>
        </w:pBdr>
        <w:spacing w:after="140"/>
      </w:pPr>
    </w:p>
    <w:p w14:paraId="3C94A621" w14:textId="77777777" w:rsidR="00C03BF5" w:rsidRDefault="0045319B">
      <w:pPr>
        <w:spacing w:after="180" w:line="300" w:lineRule="auto"/>
      </w:pPr>
      <w:r>
        <w:t>Rural businesses of our kind need staff who can get to work reliably, often early and often at short notice. That is increasingly hard to arrange, for a straightforward reason: nobody entering the workforce can afford to live within reach.</w:t>
      </w:r>
    </w:p>
    <w:p w14:paraId="2DB614CF" w14:textId="77777777" w:rsidR="00C03BF5" w:rsidRDefault="0045319B">
      <w:pPr>
        <w:spacing w:after="180" w:line="300" w:lineRule="auto"/>
      </w:pPr>
      <w:r>
        <w:t>The consequences are not abstract. Vacancies stay open longer. Recruitment reaches further out, which means longer journeys, more mileage and less reliability in bad weather. Staff who would prefer to stay locally leave. A business that is tied to the countryside by the nature of its work ends up drawing its workforce from towns twenty or thirty miles away.</w:t>
      </w:r>
    </w:p>
    <w:p w14:paraId="3D49145A" w14:textId="77777777" w:rsidR="00C03BF5" w:rsidRDefault="0045319B">
      <w:pPr>
        <w:spacing w:before="320" w:after="60" w:line="300" w:lineRule="auto"/>
      </w:pPr>
      <w:proofErr w:type="gramStart"/>
      <w:r>
        <w:rPr>
          <w:b/>
          <w:bCs/>
          <w:caps/>
          <w:color w:val="1F3864"/>
          <w:spacing w:val="30"/>
          <w:sz w:val="24"/>
          <w:szCs w:val="24"/>
        </w:rPr>
        <w:t>2  Affordability</w:t>
      </w:r>
      <w:proofErr w:type="gramEnd"/>
      <w:r>
        <w:rPr>
          <w:b/>
          <w:bCs/>
          <w:caps/>
          <w:color w:val="1F3864"/>
          <w:spacing w:val="30"/>
          <w:sz w:val="24"/>
          <w:szCs w:val="24"/>
        </w:rPr>
        <w:t xml:space="preserve"> has to mean something to an actual wage</w:t>
      </w:r>
    </w:p>
    <w:p w14:paraId="379EA1A7" w14:textId="77777777" w:rsidR="00C03BF5" w:rsidRDefault="00C03BF5">
      <w:pPr>
        <w:pBdr>
          <w:bottom w:val="single" w:sz="6" w:space="4" w:color="1F3864"/>
        </w:pBdr>
        <w:spacing w:after="140"/>
      </w:pPr>
    </w:p>
    <w:p w14:paraId="5BAC5F27" w14:textId="77777777" w:rsidR="00C03BF5" w:rsidRDefault="0045319B">
      <w:pPr>
        <w:spacing w:after="180" w:line="300" w:lineRule="auto"/>
      </w:pPr>
      <w:r>
        <w:t xml:space="preserve">A percentage of affordable units within an expensive scheme </w:t>
      </w:r>
      <w:proofErr w:type="gramStart"/>
      <w:r>
        <w:t>is</w:t>
      </w:r>
      <w:proofErr w:type="gramEnd"/>
      <w:r>
        <w:t xml:space="preserve"> not the same thing as housing an employee can live in. What determines whether a home is useful to a local worker is price against local earnings, tenure, size, and whether eligibility rules </w:t>
      </w:r>
      <w:proofErr w:type="gramStart"/>
      <w:r>
        <w:t>actually reach</w:t>
      </w:r>
      <w:proofErr w:type="gramEnd"/>
      <w:r>
        <w:t xml:space="preserve"> people who work in the parish.</w:t>
      </w:r>
    </w:p>
    <w:p w14:paraId="7ECB530D" w14:textId="77777777" w:rsidR="00C03BF5" w:rsidRDefault="0045319B">
      <w:pPr>
        <w:spacing w:after="180" w:line="300" w:lineRule="auto"/>
      </w:pPr>
      <w:r>
        <w:lastRenderedPageBreak/>
        <w:t>I would ask the plan to test affordable provision against local wage levels rather than against a national ratio, and to give weight to smaller units, which is what the people I am describing need and what Haughton entirely lacks.</w:t>
      </w:r>
    </w:p>
    <w:p w14:paraId="593E0B8A" w14:textId="77777777" w:rsidR="00C03BF5" w:rsidRDefault="0045319B">
      <w:pPr>
        <w:spacing w:before="320" w:after="60" w:line="300" w:lineRule="auto"/>
      </w:pPr>
      <w:proofErr w:type="gramStart"/>
      <w:r>
        <w:rPr>
          <w:b/>
          <w:bCs/>
          <w:caps/>
          <w:color w:val="1F3864"/>
          <w:spacing w:val="30"/>
          <w:sz w:val="24"/>
          <w:szCs w:val="24"/>
        </w:rPr>
        <w:t>3  Distributed</w:t>
      </w:r>
      <w:proofErr w:type="gramEnd"/>
      <w:r>
        <w:rPr>
          <w:b/>
          <w:bCs/>
          <w:caps/>
          <w:color w:val="1F3864"/>
          <w:spacing w:val="30"/>
          <w:sz w:val="24"/>
          <w:szCs w:val="24"/>
        </w:rPr>
        <w:t xml:space="preserve"> growth suits a rural workforce better</w:t>
      </w:r>
    </w:p>
    <w:p w14:paraId="3C4D83AD" w14:textId="77777777" w:rsidR="00C03BF5" w:rsidRDefault="00C03BF5">
      <w:pPr>
        <w:pBdr>
          <w:bottom w:val="single" w:sz="6" w:space="4" w:color="1F3864"/>
        </w:pBdr>
        <w:spacing w:after="140"/>
      </w:pPr>
    </w:p>
    <w:p w14:paraId="04C155D3" w14:textId="77777777" w:rsidR="00C03BF5" w:rsidRDefault="0045319B">
      <w:pPr>
        <w:spacing w:after="180" w:line="300" w:lineRule="auto"/>
      </w:pPr>
      <w:r>
        <w:t>From an employer’s point of view the shape of growth matters less than its usefulness, and a single concentrated estate is not obviously the most useful shape. Individual plots, small groups, conversions and the reuse of existing buildings can deliver the same number of homes with less infrastructure burden, more work for smaller local builders, and units at a size and price that reach the people who need them.</w:t>
      </w:r>
    </w:p>
    <w:p w14:paraId="08062831" w14:textId="77777777" w:rsidR="00C03BF5" w:rsidRDefault="0045319B">
      <w:pPr>
        <w:spacing w:after="180" w:line="300" w:lineRule="auto"/>
      </w:pPr>
      <w:r>
        <w:t>I understand the larger dwelling figures for the Haughton parcels derive from the Council applying a standard capacity assumption during scoping, rather than from any scheme put forward by the landowner’s agent. I would ask that this be confirmed and made explicit, so that a modelling convention does not become the assumed form of development.</w:t>
      </w:r>
    </w:p>
    <w:p w14:paraId="6F409D8A" w14:textId="77777777" w:rsidR="00C03BF5" w:rsidRDefault="0045319B">
      <w:pPr>
        <w:spacing w:before="320" w:after="60" w:line="300" w:lineRule="auto"/>
      </w:pPr>
      <w:proofErr w:type="gramStart"/>
      <w:r>
        <w:rPr>
          <w:b/>
          <w:bCs/>
          <w:caps/>
          <w:color w:val="1F3864"/>
          <w:spacing w:val="30"/>
          <w:sz w:val="24"/>
          <w:szCs w:val="24"/>
        </w:rPr>
        <w:t>4  Premises</w:t>
      </w:r>
      <w:proofErr w:type="gramEnd"/>
      <w:r>
        <w:rPr>
          <w:b/>
          <w:bCs/>
          <w:caps/>
          <w:color w:val="1F3864"/>
          <w:spacing w:val="30"/>
          <w:sz w:val="24"/>
          <w:szCs w:val="24"/>
        </w:rPr>
        <w:t xml:space="preserve"> matter as much as houses</w:t>
      </w:r>
    </w:p>
    <w:p w14:paraId="1CE8AAC0" w14:textId="77777777" w:rsidR="00C03BF5" w:rsidRDefault="00C03BF5">
      <w:pPr>
        <w:pBdr>
          <w:bottom w:val="single" w:sz="6" w:space="4" w:color="1F3864"/>
        </w:pBdr>
        <w:spacing w:after="140"/>
      </w:pPr>
    </w:p>
    <w:p w14:paraId="24EB45B8" w14:textId="77777777" w:rsidR="00C03BF5" w:rsidRDefault="0045319B">
      <w:pPr>
        <w:spacing w:after="180" w:line="300" w:lineRule="auto"/>
      </w:pPr>
      <w:r>
        <w:t xml:space="preserve">Rural businesses also need somewhere to operate. Workshops, storage, assembly and demonstration space have an operational relationship with the countryside and cannot simply be relocated to a town on sustainability grounds without destroying the activity itself. Where existing rural buildings are reused, I would ask that the plan look at whether employment and housing can sit alongside one another, rather than </w:t>
      </w:r>
      <w:proofErr w:type="gramStart"/>
      <w:r>
        <w:t>assuming that</w:t>
      </w:r>
      <w:proofErr w:type="gramEnd"/>
      <w:r>
        <w:t xml:space="preserve"> reuse always means residential conversion and the loss of the working use.</w:t>
      </w:r>
    </w:p>
    <w:p w14:paraId="70DE5FA2" w14:textId="77777777" w:rsidR="00C03BF5" w:rsidRDefault="0045319B">
      <w:pPr>
        <w:spacing w:after="180" w:line="300" w:lineRule="auto"/>
      </w:pPr>
      <w:r>
        <w:t>One parcel under consideration — Moss Farm — appears to contain an existing farmstead within its boundary. Whatever its future, the question of what working use is on that land now, and what would be lost, should form part of the appraisal.</w:t>
      </w:r>
    </w:p>
    <w:p w14:paraId="1E07C81C" w14:textId="77777777" w:rsidR="00C03BF5" w:rsidRDefault="0045319B">
      <w:pPr>
        <w:spacing w:before="320" w:after="60" w:line="300" w:lineRule="auto"/>
      </w:pPr>
      <w:proofErr w:type="gramStart"/>
      <w:r>
        <w:rPr>
          <w:b/>
          <w:bCs/>
          <w:caps/>
          <w:color w:val="1F3864"/>
          <w:spacing w:val="30"/>
          <w:sz w:val="24"/>
          <w:szCs w:val="24"/>
        </w:rPr>
        <w:t>5  Delivery</w:t>
      </w:r>
      <w:proofErr w:type="gramEnd"/>
      <w:r>
        <w:rPr>
          <w:b/>
          <w:bCs/>
          <w:caps/>
          <w:color w:val="1F3864"/>
          <w:spacing w:val="30"/>
          <w:sz w:val="24"/>
          <w:szCs w:val="24"/>
        </w:rPr>
        <w:t xml:space="preserve"> before occupation</w:t>
      </w:r>
    </w:p>
    <w:p w14:paraId="2B949032" w14:textId="77777777" w:rsidR="00C03BF5" w:rsidRDefault="00C03BF5">
      <w:pPr>
        <w:pBdr>
          <w:bottom w:val="single" w:sz="6" w:space="4" w:color="1F3864"/>
        </w:pBdr>
        <w:spacing w:after="140"/>
      </w:pPr>
    </w:p>
    <w:p w14:paraId="7D6CA693" w14:textId="77777777" w:rsidR="00C03BF5" w:rsidRDefault="0045319B">
      <w:pPr>
        <w:spacing w:after="180" w:line="300" w:lineRule="auto"/>
      </w:pPr>
      <w:r>
        <w:t xml:space="preserve">Long Lane already carries agricultural and business traffic on a road with restricted visibility and no continuous footway. If housing is allocated here, the highway and drainage </w:t>
      </w:r>
      <w:proofErr w:type="gramStart"/>
      <w:r>
        <w:t>works</w:t>
      </w:r>
      <w:proofErr w:type="gramEnd"/>
      <w:r>
        <w:t xml:space="preserve"> it requires should be identified at allocation stage, funded, and tied to a delivery trigger before occupation, rather than deferred to a later solution that may not arrive.</w:t>
      </w:r>
    </w:p>
    <w:p w14:paraId="4C3F627E" w14:textId="77777777" w:rsidR="00C03BF5" w:rsidRDefault="0045319B">
      <w:pPr>
        <w:spacing w:before="320" w:after="60" w:line="300" w:lineRule="auto"/>
      </w:pPr>
      <w:r>
        <w:rPr>
          <w:b/>
          <w:bCs/>
          <w:caps/>
          <w:color w:val="1F3864"/>
          <w:spacing w:val="30"/>
          <w:sz w:val="24"/>
          <w:szCs w:val="24"/>
        </w:rPr>
        <w:t>Outcomes I support</w:t>
      </w:r>
    </w:p>
    <w:p w14:paraId="36B256D0" w14:textId="77777777" w:rsidR="00C03BF5" w:rsidRDefault="00C03BF5">
      <w:pPr>
        <w:pBdr>
          <w:bottom w:val="single" w:sz="6" w:space="4" w:color="1F3864"/>
        </w:pBdr>
        <w:spacing w:after="140"/>
      </w:pPr>
    </w:p>
    <w:p w14:paraId="72B937A3" w14:textId="77777777" w:rsidR="00C03BF5" w:rsidRDefault="0045319B">
      <w:pPr>
        <w:pStyle w:val="ListParagraph"/>
        <w:numPr>
          <w:ilvl w:val="0"/>
          <w:numId w:val="1"/>
        </w:numPr>
        <w:spacing w:after="140" w:line="300" w:lineRule="auto"/>
      </w:pPr>
      <w:r>
        <w:t>Affordable provision tested against local earnings, with weight given to smaller units.</w:t>
      </w:r>
    </w:p>
    <w:p w14:paraId="46984C65" w14:textId="77777777" w:rsidR="00C03BF5" w:rsidRDefault="0045319B">
      <w:pPr>
        <w:pStyle w:val="ListParagraph"/>
        <w:numPr>
          <w:ilvl w:val="0"/>
          <w:numId w:val="1"/>
        </w:numPr>
        <w:spacing w:after="140" w:line="300" w:lineRule="auto"/>
      </w:pPr>
      <w:r>
        <w:lastRenderedPageBreak/>
        <w:t>Confirmation that the Haughton dwelling figures are modelled capacities rather than promoted schemes.</w:t>
      </w:r>
    </w:p>
    <w:p w14:paraId="5BB792FC" w14:textId="77777777" w:rsidR="00C03BF5" w:rsidRDefault="0045319B">
      <w:pPr>
        <w:pStyle w:val="ListParagraph"/>
        <w:numPr>
          <w:ilvl w:val="0"/>
          <w:numId w:val="1"/>
        </w:numPr>
        <w:spacing w:after="140" w:line="300" w:lineRule="auto"/>
      </w:pPr>
      <w:r>
        <w:t>Assessment of infill, conversion and small-site opportunities as genuine alternatives to a single estate form.</w:t>
      </w:r>
    </w:p>
    <w:p w14:paraId="2C8EB4A6" w14:textId="77777777" w:rsidR="00C03BF5" w:rsidRDefault="0045319B">
      <w:pPr>
        <w:pStyle w:val="ListParagraph"/>
        <w:numPr>
          <w:ilvl w:val="0"/>
          <w:numId w:val="1"/>
        </w:numPr>
        <w:spacing w:after="140" w:line="300" w:lineRule="auto"/>
      </w:pPr>
      <w:r>
        <w:t>Recognition in policy that rural businesses need premises, and that reuse should not automatically mean the loss of employment floorspace.</w:t>
      </w:r>
    </w:p>
    <w:p w14:paraId="79B51BBE" w14:textId="77777777" w:rsidR="00C03BF5" w:rsidRDefault="0045319B">
      <w:pPr>
        <w:pStyle w:val="ListParagraph"/>
        <w:numPr>
          <w:ilvl w:val="0"/>
          <w:numId w:val="1"/>
        </w:numPr>
        <w:spacing w:after="140" w:line="300" w:lineRule="auto"/>
      </w:pPr>
      <w:r>
        <w:t>Highway, pedestrian and drainage works identified and funded at allocation stage.</w:t>
      </w:r>
    </w:p>
    <w:p w14:paraId="33F64741" w14:textId="77777777" w:rsidR="00C03BF5" w:rsidRDefault="00C03BF5">
      <w:pPr>
        <w:spacing w:after="120" w:line="300" w:lineRule="auto"/>
      </w:pPr>
    </w:p>
    <w:p w14:paraId="0A184C94" w14:textId="77777777" w:rsidR="00C03BF5" w:rsidRDefault="0045319B">
      <w:pPr>
        <w:spacing w:after="320" w:line="300" w:lineRule="auto"/>
      </w:pPr>
      <w:r>
        <w:t>Please record this as my own separate representation, confirm its reference, and notify me of the later statutory stages.</w:t>
      </w:r>
    </w:p>
    <w:p w14:paraId="613E7393" w14:textId="77777777" w:rsidR="00C03BF5" w:rsidRDefault="0045319B">
      <w:pPr>
        <w:spacing w:after="480" w:line="300" w:lineRule="auto"/>
      </w:pPr>
      <w:r>
        <w:t>Yours faithfully</w:t>
      </w:r>
    </w:p>
    <w:p w14:paraId="33E4B5E1" w14:textId="77777777" w:rsidR="00C03BF5" w:rsidRDefault="0045319B">
      <w:pPr>
        <w:spacing w:after="180" w:line="300" w:lineRule="auto"/>
      </w:pPr>
      <w:r>
        <w:rPr>
          <w:b/>
          <w:bCs/>
          <w:sz w:val="26"/>
          <w:szCs w:val="26"/>
        </w:rPr>
        <w:t>Matthew Pearce</w:t>
      </w:r>
    </w:p>
    <w:sectPr w:rsidR="00C03BF5">
      <w:footerReference w:type="even" r:id="rId7"/>
      <w:footerReference w:type="default" r:id="rId8"/>
      <w:footerReference w:type="first" r:id="rId9"/>
      <w:pgSz w:w="11906" w:h="16838"/>
      <w:pgMar w:top="1134" w:right="1247" w:bottom="1134" w:left="124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2B5959" w14:textId="77777777" w:rsidR="0045319B" w:rsidRDefault="0045319B" w:rsidP="00ED6F8C">
      <w:r>
        <w:separator/>
      </w:r>
    </w:p>
  </w:endnote>
  <w:endnote w:type="continuationSeparator" w:id="0">
    <w:p w14:paraId="7D5852F7" w14:textId="77777777" w:rsidR="0045319B" w:rsidRDefault="0045319B" w:rsidP="00ED6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0622C" w14:textId="22169570" w:rsidR="00ED6F8C" w:rsidRDefault="00ED6F8C">
    <w:pPr>
      <w:pStyle w:val="Footer"/>
    </w:pPr>
    <w:r>
      <w:rPr>
        <w:noProof/>
      </w:rPr>
      <mc:AlternateContent>
        <mc:Choice Requires="wps">
          <w:drawing>
            <wp:anchor distT="0" distB="0" distL="0" distR="0" simplePos="0" relativeHeight="251659264" behindDoc="0" locked="0" layoutInCell="1" allowOverlap="1" wp14:anchorId="576FA721" wp14:editId="7569266D">
              <wp:simplePos x="635" y="635"/>
              <wp:positionH relativeFrom="page">
                <wp:align>center</wp:align>
              </wp:positionH>
              <wp:positionV relativeFrom="page">
                <wp:align>bottom</wp:align>
              </wp:positionV>
              <wp:extent cx="686435" cy="365760"/>
              <wp:effectExtent l="0" t="0" r="18415" b="0"/>
              <wp:wrapNone/>
              <wp:docPr id="631341542" name="Text Box 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365760"/>
                      </a:xfrm>
                      <a:prstGeom prst="rect">
                        <a:avLst/>
                      </a:prstGeom>
                      <a:noFill/>
                      <a:ln>
                        <a:noFill/>
                      </a:ln>
                    </wps:spPr>
                    <wps:txbx>
                      <w:txbxContent>
                        <w:p w14:paraId="7667C889" w14:textId="068527CF" w:rsidR="00ED6F8C" w:rsidRPr="00ED6F8C" w:rsidRDefault="00ED6F8C" w:rsidP="00ED6F8C">
                          <w:pPr>
                            <w:rPr>
                              <w:rFonts w:ascii="Arial" w:eastAsia="Arial" w:hAnsi="Arial" w:cs="Arial"/>
                              <w:noProof/>
                              <w:color w:val="003EC8"/>
                              <w:sz w:val="24"/>
                              <w:szCs w:val="24"/>
                            </w:rPr>
                          </w:pPr>
                          <w:r w:rsidRPr="00ED6F8C">
                            <w:rPr>
                              <w:rFonts w:ascii="Arial" w:eastAsia="Arial" w:hAnsi="Arial" w:cs="Arial"/>
                              <w:noProof/>
                              <w:color w:val="003EC8"/>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76FA721" id="_x0000_t202" coordsize="21600,21600" o:spt="202" path="m,l,21600r21600,l21600,xe">
              <v:stroke joinstyle="miter"/>
              <v:path gradientshapeok="t" o:connecttype="rect"/>
            </v:shapetype>
            <v:shape id="Text Box 2" o:spid="_x0000_s1026" type="#_x0000_t202" alt="OFFICIAL" style="position:absolute;margin-left:0;margin-top:0;width:54.05pt;height:28.8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" filled="f" stroked="f">
              <v:fill o:detectmouseclick="t"/>
              <v:textbox style="mso-fit-shape-to-text:t" inset="0,0,0,15pt">
                <w:txbxContent>
                  <w:p w14:paraId="7667C889" w14:textId="068527CF" w:rsidR="00ED6F8C" w:rsidRPr="00ED6F8C" w:rsidRDefault="00ED6F8C" w:rsidP="00ED6F8C">
                    <w:pPr>
                      <w:rPr>
                        <w:rFonts w:ascii="Arial" w:eastAsia="Arial" w:hAnsi="Arial" w:cs="Arial"/>
                        <w:noProof/>
                        <w:color w:val="003EC8"/>
                        <w:sz w:val="24"/>
                        <w:szCs w:val="24"/>
                      </w:rPr>
                    </w:pPr>
                    <w:r w:rsidRPr="00ED6F8C">
                      <w:rPr>
                        <w:rFonts w:ascii="Arial" w:eastAsia="Arial" w:hAnsi="Arial" w:cs="Arial"/>
                        <w:noProof/>
                        <w:color w:val="003EC8"/>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45152" w14:textId="7A0B616C" w:rsidR="00ED6F8C" w:rsidRDefault="00ED6F8C">
    <w:pPr>
      <w:pStyle w:val="Footer"/>
    </w:pPr>
    <w:r>
      <w:rPr>
        <w:noProof/>
      </w:rPr>
      <mc:AlternateContent>
        <mc:Choice Requires="wps">
          <w:drawing>
            <wp:anchor distT="0" distB="0" distL="0" distR="0" simplePos="0" relativeHeight="251660288" behindDoc="0" locked="0" layoutInCell="1" allowOverlap="1" wp14:anchorId="21A557AF" wp14:editId="7F135F05">
              <wp:simplePos x="793750" y="10071100"/>
              <wp:positionH relativeFrom="page">
                <wp:align>center</wp:align>
              </wp:positionH>
              <wp:positionV relativeFrom="page">
                <wp:align>bottom</wp:align>
              </wp:positionV>
              <wp:extent cx="686435" cy="365760"/>
              <wp:effectExtent l="0" t="0" r="18415" b="0"/>
              <wp:wrapNone/>
              <wp:docPr id="449714124" name="Text Box 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365760"/>
                      </a:xfrm>
                      <a:prstGeom prst="rect">
                        <a:avLst/>
                      </a:prstGeom>
                      <a:noFill/>
                      <a:ln>
                        <a:noFill/>
                      </a:ln>
                    </wps:spPr>
                    <wps:txbx>
                      <w:txbxContent>
                        <w:p w14:paraId="2669E568" w14:textId="47927D54" w:rsidR="00ED6F8C" w:rsidRPr="00ED6F8C" w:rsidRDefault="00ED6F8C" w:rsidP="00ED6F8C">
                          <w:pPr>
                            <w:rPr>
                              <w:rFonts w:ascii="Arial" w:eastAsia="Arial" w:hAnsi="Arial" w:cs="Arial"/>
                              <w:noProof/>
                              <w:color w:val="003EC8"/>
                              <w:sz w:val="24"/>
                              <w:szCs w:val="24"/>
                            </w:rPr>
                          </w:pPr>
                          <w:r w:rsidRPr="00ED6F8C">
                            <w:rPr>
                              <w:rFonts w:ascii="Arial" w:eastAsia="Arial" w:hAnsi="Arial" w:cs="Arial"/>
                              <w:noProof/>
                              <w:color w:val="003EC8"/>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1A557AF" id="_x0000_t202" coordsize="21600,21600" o:spt="202" path="m,l,21600r21600,l21600,xe">
              <v:stroke joinstyle="miter"/>
              <v:path gradientshapeok="t" o:connecttype="rect"/>
            </v:shapetype>
            <v:shape id="Text Box 3" o:spid="_x0000_s1027" type="#_x0000_t202" alt="OFFICIAL" style="position:absolute;margin-left:0;margin-top:0;width:54.05pt;height:28.8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" filled="f" stroked="f">
              <v:fill o:detectmouseclick="t"/>
              <v:textbox style="mso-fit-shape-to-text:t" inset="0,0,0,15pt">
                <w:txbxContent>
                  <w:p w14:paraId="2669E568" w14:textId="47927D54" w:rsidR="00ED6F8C" w:rsidRPr="00ED6F8C" w:rsidRDefault="00ED6F8C" w:rsidP="00ED6F8C">
                    <w:pPr>
                      <w:rPr>
                        <w:rFonts w:ascii="Arial" w:eastAsia="Arial" w:hAnsi="Arial" w:cs="Arial"/>
                        <w:noProof/>
                        <w:color w:val="003EC8"/>
                        <w:sz w:val="24"/>
                        <w:szCs w:val="24"/>
                      </w:rPr>
                    </w:pPr>
                    <w:r w:rsidRPr="00ED6F8C">
                      <w:rPr>
                        <w:rFonts w:ascii="Arial" w:eastAsia="Arial" w:hAnsi="Arial" w:cs="Arial"/>
                        <w:noProof/>
                        <w:color w:val="003EC8"/>
                        <w:sz w:val="24"/>
                        <w:szCs w:val="24"/>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0BAA9" w14:textId="0342DC80" w:rsidR="00ED6F8C" w:rsidRDefault="00ED6F8C">
    <w:pPr>
      <w:pStyle w:val="Footer"/>
    </w:pPr>
    <w:r>
      <w:rPr>
        <w:noProof/>
      </w:rPr>
      <mc:AlternateContent>
        <mc:Choice Requires="wps">
          <w:drawing>
            <wp:anchor distT="0" distB="0" distL="0" distR="0" simplePos="0" relativeHeight="251658240" behindDoc="0" locked="0" layoutInCell="1" allowOverlap="1" wp14:anchorId="3711DDC9" wp14:editId="629F049A">
              <wp:simplePos x="635" y="635"/>
              <wp:positionH relativeFrom="page">
                <wp:align>center</wp:align>
              </wp:positionH>
              <wp:positionV relativeFrom="page">
                <wp:align>bottom</wp:align>
              </wp:positionV>
              <wp:extent cx="686435" cy="365760"/>
              <wp:effectExtent l="0" t="0" r="18415" b="0"/>
              <wp:wrapNone/>
              <wp:docPr id="1646754650" name="Text Box 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365760"/>
                      </a:xfrm>
                      <a:prstGeom prst="rect">
                        <a:avLst/>
                      </a:prstGeom>
                      <a:noFill/>
                      <a:ln>
                        <a:noFill/>
                      </a:ln>
                    </wps:spPr>
                    <wps:txbx>
                      <w:txbxContent>
                        <w:p w14:paraId="0AD82491" w14:textId="20FF8D18" w:rsidR="00ED6F8C" w:rsidRPr="00ED6F8C" w:rsidRDefault="00ED6F8C" w:rsidP="00ED6F8C">
                          <w:pPr>
                            <w:rPr>
                              <w:rFonts w:ascii="Arial" w:eastAsia="Arial" w:hAnsi="Arial" w:cs="Arial"/>
                              <w:noProof/>
                              <w:color w:val="003EC8"/>
                              <w:sz w:val="24"/>
                              <w:szCs w:val="24"/>
                            </w:rPr>
                          </w:pPr>
                          <w:r w:rsidRPr="00ED6F8C">
                            <w:rPr>
                              <w:rFonts w:ascii="Arial" w:eastAsia="Arial" w:hAnsi="Arial" w:cs="Arial"/>
                              <w:noProof/>
                              <w:color w:val="003EC8"/>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711DDC9" id="_x0000_t202" coordsize="21600,21600" o:spt="202" path="m,l,21600r21600,l21600,xe">
              <v:stroke joinstyle="miter"/>
              <v:path gradientshapeok="t" o:connecttype="rect"/>
            </v:shapetype>
            <v:shape id="Text Box 1" o:spid="_x0000_s1028" type="#_x0000_t202" alt="OFFICIAL" style="position:absolute;margin-left:0;margin-top:0;width:54.05pt;height:28.8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" filled="f" stroked="f">
              <v:fill o:detectmouseclick="t"/>
              <v:textbox style="mso-fit-shape-to-text:t" inset="0,0,0,15pt">
                <w:txbxContent>
                  <w:p w14:paraId="0AD82491" w14:textId="20FF8D18" w:rsidR="00ED6F8C" w:rsidRPr="00ED6F8C" w:rsidRDefault="00ED6F8C" w:rsidP="00ED6F8C">
                    <w:pPr>
                      <w:rPr>
                        <w:rFonts w:ascii="Arial" w:eastAsia="Arial" w:hAnsi="Arial" w:cs="Arial"/>
                        <w:noProof/>
                        <w:color w:val="003EC8"/>
                        <w:sz w:val="24"/>
                        <w:szCs w:val="24"/>
                      </w:rPr>
                    </w:pPr>
                    <w:r w:rsidRPr="00ED6F8C">
                      <w:rPr>
                        <w:rFonts w:ascii="Arial" w:eastAsia="Arial" w:hAnsi="Arial" w:cs="Arial"/>
                        <w:noProof/>
                        <w:color w:val="003EC8"/>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947D56" w14:textId="77777777" w:rsidR="0045319B" w:rsidRDefault="0045319B" w:rsidP="00ED6F8C">
      <w:r>
        <w:separator/>
      </w:r>
    </w:p>
  </w:footnote>
  <w:footnote w:type="continuationSeparator" w:id="0">
    <w:p w14:paraId="24FAF4F3" w14:textId="77777777" w:rsidR="0045319B" w:rsidRDefault="0045319B" w:rsidP="00ED6F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170D00"/>
    <w:multiLevelType w:val="hybridMultilevel"/>
    <w:tmpl w:val="AEFA25A2"/>
    <w:lvl w:ilvl="0" w:tplc="29BC8078">
      <w:start w:val="1"/>
      <w:numFmt w:val="bullet"/>
      <w:lvlText w:val="●"/>
      <w:lvlJc w:val="left"/>
      <w:pPr>
        <w:ind w:left="720" w:hanging="360"/>
      </w:pPr>
    </w:lvl>
    <w:lvl w:ilvl="1" w:tplc="1C2AC60E">
      <w:start w:val="1"/>
      <w:numFmt w:val="bullet"/>
      <w:lvlText w:val="○"/>
      <w:lvlJc w:val="left"/>
      <w:pPr>
        <w:ind w:left="1440" w:hanging="360"/>
      </w:pPr>
    </w:lvl>
    <w:lvl w:ilvl="2" w:tplc="A24EF76E">
      <w:start w:val="1"/>
      <w:numFmt w:val="bullet"/>
      <w:lvlText w:val="■"/>
      <w:lvlJc w:val="left"/>
      <w:pPr>
        <w:ind w:left="2160" w:hanging="360"/>
      </w:pPr>
    </w:lvl>
    <w:lvl w:ilvl="3" w:tplc="EEF6F59A">
      <w:start w:val="1"/>
      <w:numFmt w:val="bullet"/>
      <w:lvlText w:val="●"/>
      <w:lvlJc w:val="left"/>
      <w:pPr>
        <w:ind w:left="2880" w:hanging="360"/>
      </w:pPr>
    </w:lvl>
    <w:lvl w:ilvl="4" w:tplc="CC0EEE5A">
      <w:start w:val="1"/>
      <w:numFmt w:val="bullet"/>
      <w:lvlText w:val="○"/>
      <w:lvlJc w:val="left"/>
      <w:pPr>
        <w:ind w:left="3600" w:hanging="360"/>
      </w:pPr>
    </w:lvl>
    <w:lvl w:ilvl="5" w:tplc="8CAAE29C">
      <w:start w:val="1"/>
      <w:numFmt w:val="bullet"/>
      <w:lvlText w:val="■"/>
      <w:lvlJc w:val="left"/>
      <w:pPr>
        <w:ind w:left="4320" w:hanging="360"/>
      </w:pPr>
    </w:lvl>
    <w:lvl w:ilvl="6" w:tplc="1B503CCA">
      <w:start w:val="1"/>
      <w:numFmt w:val="bullet"/>
      <w:lvlText w:val="●"/>
      <w:lvlJc w:val="left"/>
      <w:pPr>
        <w:ind w:left="5040" w:hanging="360"/>
      </w:pPr>
    </w:lvl>
    <w:lvl w:ilvl="7" w:tplc="6F7C8542">
      <w:start w:val="1"/>
      <w:numFmt w:val="bullet"/>
      <w:lvlText w:val="●"/>
      <w:lvlJc w:val="left"/>
      <w:pPr>
        <w:ind w:left="5760" w:hanging="360"/>
      </w:pPr>
    </w:lvl>
    <w:lvl w:ilvl="8" w:tplc="D084D2B0">
      <w:start w:val="1"/>
      <w:numFmt w:val="bullet"/>
      <w:lvlText w:val="●"/>
      <w:lvlJc w:val="left"/>
      <w:pPr>
        <w:ind w:left="6480" w:hanging="360"/>
      </w:pPr>
    </w:lvl>
  </w:abstractNum>
  <w:num w:numId="1" w16cid:durableId="66971844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3BF5"/>
    <w:rsid w:val="0045319B"/>
    <w:rsid w:val="007E2409"/>
    <w:rsid w:val="00C03BF5"/>
    <w:rsid w:val="00E70AB1"/>
    <w:rsid w:val="00ED6F8C"/>
    <w:rsid w:val="00F564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D07269"/>
  <w15:docId w15:val="{C3240EE3-41E6-473D-AE45-8A3EF7705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rebuchet MS" w:eastAsia="Trebuchet MS" w:hAnsi="Trebuchet MS" w:cs="Trebuchet MS"/>
        <w:sz w:val="23"/>
        <w:szCs w:val="23"/>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Footer">
    <w:name w:val="footer"/>
    <w:basedOn w:val="Normal"/>
    <w:link w:val="FooterChar"/>
    <w:uiPriority w:val="99"/>
    <w:unhideWhenUsed/>
    <w:rsid w:val="00ED6F8C"/>
    <w:pPr>
      <w:tabs>
        <w:tab w:val="center" w:pos="4513"/>
        <w:tab w:val="right" w:pos="9026"/>
      </w:tabs>
    </w:pPr>
  </w:style>
  <w:style w:type="character" w:customStyle="1" w:styleId="FooterChar">
    <w:name w:val="Footer Char"/>
    <w:basedOn w:val="DefaultParagraphFont"/>
    <w:link w:val="Footer"/>
    <w:uiPriority w:val="99"/>
    <w:rsid w:val="00ED6F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ef975da0-2206-4296-8b08-8eab8a965a3b}" enabled="1" method="Privileged" siteId="{cdb92d10-23cb-4ac1-a9b3-34f4faaa2851}" removed="0"/>
</clbl:labelList>
</file>

<file path=docProps/app.xml><?xml version="1.0" encoding="utf-8"?>
<Properties xmlns="http://schemas.openxmlformats.org/officeDocument/2006/extended-properties" xmlns:vt="http://schemas.openxmlformats.org/officeDocument/2006/docPropsVTypes">
  <Template>Normal</Template>
  <TotalTime>2</TotalTime>
  <Pages>3</Pages>
  <Words>694</Words>
  <Characters>3956</Characters>
  <Application>Microsoft Office Word</Application>
  <DocSecurity>0</DocSecurity>
  <Lines>32</Lines>
  <Paragraphs>9</Paragraphs>
  <ScaleCrop>false</ScaleCrop>
  <Company/>
  <LinksUpToDate>false</LinksUpToDate>
  <CharactersWithSpaces>4641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GRASE-JURKENAS, Yelena</cp:lastModifiedBy>
  <cp:revision>4</cp:revision>
  <dcterms:created xsi:type="dcterms:W3CDTF">2026-09-24T13:27:00Z</dcterms:created>
  <dcterms:modified xsi:type="dcterms:W3CDTF">2026-09-24T13:28:00Z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62277b5a,25a181e6,1ace17cc</vt:lpwstr>
  </property>
  <property fmtid="{D5CDD505-2E9C-101B-9397-08002B2CF9AE}" pid="3" name="ClassificationContentMarkingFooterFontProps">
    <vt:lpwstr>#003ec8,12,Arial</vt:lpwstr>
  </property>
  <property fmtid="{D5CDD505-2E9C-101B-9397-08002B2CF9AE}" pid="4" name="ClassificationContentMarkingFooterText">
    <vt:lpwstr>OFFICIAL</vt:lpwstr>
  </property>
</Properties>
</file>