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42DA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To:</w:t>
      </w:r>
      <w:r w:rsidRPr="003C75B5">
        <w:rPr>
          <w:rFonts w:ascii="Avenir Next" w:hAnsi="Avenir Next"/>
          <w:sz w:val="24"/>
          <w:szCs w:val="24"/>
        </w:rPr>
        <w:t xml:space="preserve"> Spatial Planning Team, Cheshire East Council</w:t>
      </w:r>
    </w:p>
    <w:p w14:paraId="0D21FAD2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33C77AF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Subject:</w:t>
      </w:r>
      <w:r w:rsidRPr="003C75B5">
        <w:rPr>
          <w:rFonts w:ascii="Avenir Next" w:hAnsi="Avenir Next"/>
          <w:sz w:val="24"/>
          <w:szCs w:val="24"/>
        </w:rPr>
        <w:t xml:space="preserve"> Formal Objection to SHELAA Land Submission: 291.03-Hectare Area around Ashley</w:t>
      </w:r>
    </w:p>
    <w:p w14:paraId="06C614EE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(12 adjoining sites)</w:t>
      </w:r>
    </w:p>
    <w:p w14:paraId="74417516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781D99D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Formal Representation</w:t>
      </w:r>
    </w:p>
    <w:p w14:paraId="22A3D3D4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I am writing to formally submit my objection regarding the inclusion and assessment of the</w:t>
      </w:r>
    </w:p>
    <w:p w14:paraId="0202362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291.03-hectare land submission around Ashley within the Cheshire East Strategic Housing and</w:t>
      </w:r>
    </w:p>
    <w:p w14:paraId="29E30F64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Economic Land Availability Assessment (SHELAA) and the ongoing Local Plan review</w:t>
      </w:r>
    </w:p>
    <w:p w14:paraId="06D237C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(comprising 12 contiguous sites totalling 291.03 hectares).</w:t>
      </w:r>
    </w:p>
    <w:p w14:paraId="49B2FD4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This land allocation is fundamentally inappropriate for strategic scale development. The detailed</w:t>
      </w:r>
    </w:p>
    <w:p w14:paraId="72AC404C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planning policy justifications outlined below demonstrate how this submission directly conflicts</w:t>
      </w:r>
    </w:p>
    <w:p w14:paraId="552B8ED5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with established national and local planning frameworks.</w:t>
      </w:r>
    </w:p>
    <w:p w14:paraId="4124C7E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03135886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1. Conflict with Spatial Strategy &amp; Sustainable Settlement Hierarchy</w:t>
      </w:r>
    </w:p>
    <w:p w14:paraId="1837C9A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Lowest Settlement Ranking:</w:t>
      </w:r>
      <w:r w:rsidRPr="003C75B5">
        <w:rPr>
          <w:rFonts w:ascii="Avenir Next" w:hAnsi="Avenir Next"/>
          <w:sz w:val="24"/>
          <w:szCs w:val="24"/>
        </w:rPr>
        <w:t xml:space="preserve"> Under Policy PG 2 (Settlement Hierarchy) of the</w:t>
      </w:r>
    </w:p>
    <w:p w14:paraId="2F409FC8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Cheshire East Local Plan Strategy (CELPS), Ashley is categorized at the lowest tier. The</w:t>
      </w:r>
    </w:p>
    <w:p w14:paraId="5D3E9365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village lacks essential local infrastructure, including primary school capacity, healthcare</w:t>
      </w:r>
    </w:p>
    <w:p w14:paraId="44A97E6E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facilities, and local employment opportunities required to sustain housing growth.</w:t>
      </w:r>
    </w:p>
    <w:p w14:paraId="35641BA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Failure of Sustainable Location Principles:</w:t>
      </w:r>
      <w:r w:rsidRPr="003C75B5">
        <w:rPr>
          <w:rFonts w:ascii="Avenir Next" w:hAnsi="Avenir Next"/>
          <w:sz w:val="24"/>
          <w:szCs w:val="24"/>
        </w:rPr>
        <w:t xml:space="preserve"> Promoting major growth in a rural</w:t>
      </w:r>
    </w:p>
    <w:p w14:paraId="5C85996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location that lacks high-frequency public transport directly violates CELPS Policy SD 1</w:t>
      </w:r>
    </w:p>
    <w:p w14:paraId="0C5AE60E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(Sustainable Development in Cheshire East), CELPS Policy SD 2, and Chapter 2 of the</w:t>
      </w:r>
    </w:p>
    <w:p w14:paraId="16384E34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National Planning Policy Framework (NPPF), which explicitly dictate that growth must</w:t>
      </w:r>
    </w:p>
    <w:p w14:paraId="091CCD54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 xml:space="preserve">be focused </w:t>
      </w:r>
      <w:proofErr w:type="gramStart"/>
      <w:r w:rsidRPr="003C75B5">
        <w:rPr>
          <w:rFonts w:ascii="Avenir Next" w:hAnsi="Avenir Next"/>
          <w:sz w:val="24"/>
          <w:szCs w:val="24"/>
        </w:rPr>
        <w:t>toward</w:t>
      </w:r>
      <w:proofErr w:type="gramEnd"/>
      <w:r w:rsidRPr="003C75B5">
        <w:rPr>
          <w:rFonts w:ascii="Avenir Next" w:hAnsi="Avenir Next"/>
          <w:sz w:val="24"/>
          <w:szCs w:val="24"/>
        </w:rPr>
        <w:t xml:space="preserve"> Tier 1 Principal Towns and Tier 2 Key Service Centres.</w:t>
      </w:r>
    </w:p>
    <w:p w14:paraId="2668391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30FDB7F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2. Incompatibility with Green Belt Policy &amp; Failure to Meet "Grey Belt" Exceptions</w:t>
      </w:r>
    </w:p>
    <w:p w14:paraId="1087CEF6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"Wash-Over" Green Belt Status:</w:t>
      </w:r>
      <w:r w:rsidRPr="003C75B5">
        <w:rPr>
          <w:rFonts w:ascii="Avenir Next" w:hAnsi="Avenir Next"/>
          <w:sz w:val="24"/>
          <w:szCs w:val="24"/>
        </w:rPr>
        <w:t xml:space="preserve"> The entire parish of Ashley carries a "wash-over"</w:t>
      </w:r>
    </w:p>
    <w:p w14:paraId="451B5E6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Green Belt designation under CELPS Policy PG 3 (Green Belt). This classification</w:t>
      </w:r>
    </w:p>
    <w:p w14:paraId="46006CC1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provides strict protection aimed at safeguarding the open and rural character of</w:t>
      </w:r>
    </w:p>
    <w:p w14:paraId="195906D3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lastRenderedPageBreak/>
        <w:t>settlements enveloped by countryside.</w:t>
      </w:r>
    </w:p>
    <w:p w14:paraId="076796E9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Essential Strategic Bu</w:t>
      </w:r>
      <w:r w:rsidRPr="003C75B5">
        <w:rPr>
          <w:rFonts w:ascii="Cambria Math" w:hAnsi="Cambria Math" w:cs="Cambria Math"/>
          <w:b/>
          <w:bCs/>
          <w:sz w:val="24"/>
          <w:szCs w:val="24"/>
        </w:rPr>
        <w:t>ﬀ</w:t>
      </w:r>
      <w:r w:rsidRPr="003C75B5">
        <w:rPr>
          <w:rFonts w:ascii="Avenir Next" w:hAnsi="Avenir Next"/>
          <w:b/>
          <w:bCs/>
          <w:sz w:val="24"/>
          <w:szCs w:val="24"/>
        </w:rPr>
        <w:t>er:</w:t>
      </w:r>
      <w:r w:rsidRPr="003C75B5">
        <w:rPr>
          <w:rFonts w:ascii="Avenir Next" w:hAnsi="Avenir Next"/>
          <w:sz w:val="24"/>
          <w:szCs w:val="24"/>
        </w:rPr>
        <w:t xml:space="preserve"> Ashley operates as the narrowest remaining countryside</w:t>
      </w:r>
    </w:p>
    <w:p w14:paraId="2C151C59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bu</w:t>
      </w:r>
      <w:r w:rsidRPr="003C75B5">
        <w:rPr>
          <w:rFonts w:ascii="Cambria Math" w:hAnsi="Cambria Math" w:cs="Cambria Math"/>
          <w:sz w:val="24"/>
          <w:szCs w:val="24"/>
        </w:rPr>
        <w:t>ﬀ</w:t>
      </w:r>
      <w:r w:rsidRPr="003C75B5">
        <w:rPr>
          <w:rFonts w:ascii="Avenir Next" w:hAnsi="Avenir Next"/>
          <w:sz w:val="24"/>
          <w:szCs w:val="24"/>
        </w:rPr>
        <w:t>er separating Greater Manchester (Tra</w:t>
      </w:r>
      <w:r w:rsidRPr="003C75B5">
        <w:rPr>
          <w:rFonts w:ascii="Cambria Math" w:hAnsi="Cambria Math" w:cs="Cambria Math"/>
          <w:sz w:val="24"/>
          <w:szCs w:val="24"/>
        </w:rPr>
        <w:t>ﬀ</w:t>
      </w:r>
      <w:r w:rsidRPr="003C75B5">
        <w:rPr>
          <w:rFonts w:ascii="Avenir Next" w:hAnsi="Avenir Next"/>
          <w:sz w:val="24"/>
          <w:szCs w:val="24"/>
        </w:rPr>
        <w:t>ord/Hale/Altrincham) from Cheshire East</w:t>
      </w:r>
    </w:p>
    <w:p w14:paraId="40ED428C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settlements (Mobberley/Knutsford). Developing this site would directly breach core</w:t>
      </w:r>
    </w:p>
    <w:p w14:paraId="691EC1E2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Green Belt functions set out in Paragraph 143 of the NPPF—specifically Purpose (a) to</w:t>
      </w:r>
    </w:p>
    <w:p w14:paraId="5C00F0D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check unrestricted urban sprawl, Purpose (b) to prevent neighbouring towns from</w:t>
      </w:r>
    </w:p>
    <w:p w14:paraId="2B23431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merging, and Purpose (c) to safeguard the countryside from encroachment.</w:t>
      </w:r>
    </w:p>
    <w:p w14:paraId="02D28A6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Ineligibility for "Grey Belt" Reclassification:</w:t>
      </w:r>
      <w:r w:rsidRPr="003C75B5">
        <w:rPr>
          <w:rFonts w:ascii="Avenir Next" w:hAnsi="Avenir Next"/>
          <w:sz w:val="24"/>
          <w:szCs w:val="24"/>
        </w:rPr>
        <w:t xml:space="preserve"> Under national guidance, Green Belt</w:t>
      </w:r>
    </w:p>
    <w:p w14:paraId="621537BC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land can only be released if it qualifies as "Grey Belt" (previously developed land or land</w:t>
      </w:r>
    </w:p>
    <w:p w14:paraId="630813B8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making a negligible contribution to Green Belt purposes). The productive, open</w:t>
      </w:r>
    </w:p>
    <w:p w14:paraId="47E96451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farmland across Ashley strongly fulfils Green Belt functions and is further disqualified</w:t>
      </w:r>
    </w:p>
    <w:p w14:paraId="5FBA5589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under NPPF Footnote 7 due to statutory environmental, heritage, and agricultural</w:t>
      </w:r>
    </w:p>
    <w:p w14:paraId="7BAA92E9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constraints.</w:t>
      </w:r>
    </w:p>
    <w:p w14:paraId="0D3E980D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0A704802" w14:textId="59D2F645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3. Transport Infrastructure Deficits, Highway Safety &amp; Aviation Safeguarding</w:t>
      </w:r>
    </w:p>
    <w:p w14:paraId="10872309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Inadequate Rail Connections:</w:t>
      </w:r>
      <w:r w:rsidRPr="003C75B5">
        <w:rPr>
          <w:rFonts w:ascii="Avenir Next" w:hAnsi="Avenir Next"/>
          <w:sz w:val="24"/>
          <w:szCs w:val="24"/>
        </w:rPr>
        <w:t xml:space="preserve"> Ashley train station cannot be considered a well-</w:t>
      </w:r>
    </w:p>
    <w:p w14:paraId="2B57CD7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connected transit hub. It currently operates at a low frequency of just one train per hour</w:t>
      </w:r>
    </w:p>
    <w:p w14:paraId="6272F73F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in each direction at maximum. Furthermore, with the proposed new station at Cheadle</w:t>
      </w:r>
    </w:p>
    <w:p w14:paraId="6F84069F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now likely to proceed, service models indicate that Ashley’s service frequency could be</w:t>
      </w:r>
    </w:p>
    <w:p w14:paraId="36FF00B1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reduced further to just one train every two hours, rendering it wholly incapable of</w:t>
      </w:r>
    </w:p>
    <w:p w14:paraId="6FCA5499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supporting sustainable commuter demand.</w:t>
      </w:r>
    </w:p>
    <w:p w14:paraId="401C6AAB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Physical Network Constraints &amp; Bridge Bottlenecks:</w:t>
      </w:r>
      <w:r w:rsidRPr="003C75B5">
        <w:rPr>
          <w:rFonts w:ascii="Avenir Next" w:hAnsi="Avenir Next"/>
          <w:sz w:val="24"/>
          <w:szCs w:val="24"/>
        </w:rPr>
        <w:t xml:space="preserve"> The local highway network</w:t>
      </w:r>
    </w:p>
    <w:p w14:paraId="1D34E9FB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surrounding Ashley consists of narrow rural lanes and significant structural pinch points.</w:t>
      </w:r>
    </w:p>
    <w:p w14:paraId="1200FD15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Severe physical limitations are created by narrow bridges across the area—not only over</w:t>
      </w:r>
    </w:p>
    <w:p w14:paraId="4AF9B943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the railway line, but also crossing the River Bollin and smaller watercourses such as</w:t>
      </w:r>
    </w:p>
    <w:p w14:paraId="694526B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Birkin Brook. The substantial tra</w:t>
      </w:r>
      <w:r w:rsidRPr="003C75B5">
        <w:rPr>
          <w:rFonts w:ascii="Cambria Math" w:hAnsi="Cambria Math" w:cs="Cambria Math"/>
          <w:sz w:val="24"/>
          <w:szCs w:val="24"/>
        </w:rPr>
        <w:t>ﬀ</w:t>
      </w:r>
      <w:r w:rsidRPr="003C75B5">
        <w:rPr>
          <w:rFonts w:ascii="Avenir Next" w:hAnsi="Avenir Next"/>
          <w:sz w:val="24"/>
          <w:szCs w:val="24"/>
        </w:rPr>
        <w:t>ic volumes generated by a housing development would</w:t>
      </w:r>
    </w:p>
    <w:p w14:paraId="1CEC13F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cause severe cumulative network congestion and acute road safety risks, in direct conflict</w:t>
      </w:r>
    </w:p>
    <w:p w14:paraId="27C72634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lastRenderedPageBreak/>
        <w:t>with CELPS Policy CO 1 (Sustainable Travel and Transport), Policy CO 4, and NPPF</w:t>
      </w:r>
    </w:p>
    <w:p w14:paraId="1E115E34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Paragraph 115.</w:t>
      </w:r>
    </w:p>
    <w:p w14:paraId="1B57A50B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Statutory Airport Safeguarding Constraints:</w:t>
      </w:r>
      <w:r w:rsidRPr="003C75B5">
        <w:rPr>
          <w:rFonts w:ascii="Avenir Next" w:hAnsi="Avenir Next"/>
          <w:sz w:val="24"/>
          <w:szCs w:val="24"/>
        </w:rPr>
        <w:t xml:space="preserve"> The site lies directly beneath operational</w:t>
      </w:r>
    </w:p>
    <w:p w14:paraId="0C635AA9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noise contours and bird-strike hazard zones for Manchester Airport. Placing high-density</w:t>
      </w:r>
    </w:p>
    <w:p w14:paraId="5A99B9B1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residential development in this location breaches statutory aerodrome safeguarding</w:t>
      </w:r>
    </w:p>
    <w:p w14:paraId="5675B343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protocols and CELPS Policy SE 12 (Pollution and Land Instability) regarding public</w:t>
      </w:r>
    </w:p>
    <w:p w14:paraId="7C6AE3C2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safety and noise exposure.</w:t>
      </w:r>
    </w:p>
    <w:p w14:paraId="201A7FB1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2BB0823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4. Severe Loss of Best and Most Versatile (BMV) Agricultural Land</w:t>
      </w:r>
    </w:p>
    <w:p w14:paraId="2D7F36E4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Soil Quality &amp; Food Production:</w:t>
      </w:r>
      <w:r w:rsidRPr="003C75B5">
        <w:rPr>
          <w:rFonts w:ascii="Avenir Next" w:hAnsi="Avenir Next"/>
          <w:sz w:val="24"/>
          <w:szCs w:val="24"/>
        </w:rPr>
        <w:t xml:space="preserve"> Agricultural land classifications (including dataset</w:t>
      </w:r>
    </w:p>
    <w:p w14:paraId="04699F4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findings from HS2 Phase 2b) confirm that the submission consists of Grade 2 and</w:t>
      </w:r>
    </w:p>
    <w:p w14:paraId="6310F19C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Subgrade 3a Best and Most Versatile (BMV) agricultural land. Rather than fragmented</w:t>
      </w:r>
    </w:p>
    <w:p w14:paraId="1C11E70F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pockets, the site forms an unbroken, contiguous area of high-grade farmland vital for</w:t>
      </w:r>
    </w:p>
    <w:p w14:paraId="75D9E7D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regional food security.</w:t>
      </w:r>
    </w:p>
    <w:p w14:paraId="439F0DB3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Direct Policy Violation:</w:t>
      </w:r>
      <w:r w:rsidRPr="003C75B5">
        <w:rPr>
          <w:rFonts w:ascii="Avenir Next" w:hAnsi="Avenir Next"/>
          <w:sz w:val="24"/>
          <w:szCs w:val="24"/>
        </w:rPr>
        <w:t xml:space="preserve"> Both national policy (NPPF Paragraph 180) and local policy</w:t>
      </w:r>
    </w:p>
    <w:p w14:paraId="47DD5E86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(CELPS Policy SE 2: E</w:t>
      </w:r>
      <w:r w:rsidRPr="003C75B5">
        <w:rPr>
          <w:rFonts w:ascii="Cambria Math" w:hAnsi="Cambria Math" w:cs="Cambria Math"/>
          <w:sz w:val="24"/>
          <w:szCs w:val="24"/>
        </w:rPr>
        <w:t>ﬀ</w:t>
      </w:r>
      <w:r w:rsidRPr="003C75B5">
        <w:rPr>
          <w:rFonts w:ascii="Avenir Next" w:hAnsi="Avenir Next"/>
          <w:sz w:val="24"/>
          <w:szCs w:val="24"/>
        </w:rPr>
        <w:t>icient Use of Land) strictly mandate the preservation of high-</w:t>
      </w:r>
    </w:p>
    <w:p w14:paraId="128013FF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grade agricultural land for food production, requiring development to be directed to</w:t>
      </w:r>
    </w:p>
    <w:p w14:paraId="568BE4E4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brownfield or lower-quality land first.</w:t>
      </w:r>
    </w:p>
    <w:p w14:paraId="558CF51F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4FD8F51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5. Unacceptable Environmental, Landscape &amp; Heritage Impacts</w:t>
      </w:r>
    </w:p>
    <w:p w14:paraId="513E58C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Landscape Degradation:</w:t>
      </w:r>
      <w:r w:rsidRPr="003C75B5">
        <w:rPr>
          <w:rFonts w:ascii="Avenir Next" w:hAnsi="Avenir Next"/>
          <w:sz w:val="24"/>
          <w:szCs w:val="24"/>
        </w:rPr>
        <w:t xml:space="preserve"> Allocating this site would destroy the landscape setting of the</w:t>
      </w:r>
    </w:p>
    <w:p w14:paraId="5FE0AEB2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Bollin Valley and Parklands Local Landscape Designation (LLD) as well as the</w:t>
      </w:r>
    </w:p>
    <w:p w14:paraId="499ACBC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proofErr w:type="spellStart"/>
      <w:r w:rsidRPr="003C75B5">
        <w:rPr>
          <w:rFonts w:ascii="Avenir Next" w:hAnsi="Avenir Next"/>
          <w:sz w:val="24"/>
          <w:szCs w:val="24"/>
        </w:rPr>
        <w:t>Rostherne</w:t>
      </w:r>
      <w:proofErr w:type="spellEnd"/>
      <w:r w:rsidRPr="003C75B5">
        <w:rPr>
          <w:rFonts w:ascii="Avenir Next" w:hAnsi="Avenir Next"/>
          <w:sz w:val="24"/>
          <w:szCs w:val="24"/>
        </w:rPr>
        <w:t>/Tatton Park LLD, violating CELPS Policy SE 4 (The Landscape).</w:t>
      </w:r>
    </w:p>
    <w:p w14:paraId="5288D82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Ecological Harm:</w:t>
      </w:r>
      <w:r w:rsidRPr="003C75B5">
        <w:rPr>
          <w:rFonts w:ascii="Avenir Next" w:hAnsi="Avenir Next"/>
          <w:sz w:val="24"/>
          <w:szCs w:val="24"/>
        </w:rPr>
        <w:t xml:space="preserve"> Development would sever connected wildlife corridors and</w:t>
      </w:r>
    </w:p>
    <w:p w14:paraId="66D92CD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jeopardize sensitive natural habitats, including the Cotterill Clough Nature Reserve /</w:t>
      </w:r>
    </w:p>
    <w:p w14:paraId="349A9B7C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SSSI, conflicting with CELPS Policy SE 3 (Biodiversity and Geodiversity) and NPPF</w:t>
      </w:r>
    </w:p>
    <w:p w14:paraId="2A4BBA4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Paragraphs 180–</w:t>
      </w:r>
      <w:proofErr w:type="gramStart"/>
      <w:r w:rsidRPr="003C75B5">
        <w:rPr>
          <w:rFonts w:ascii="Avenir Next" w:hAnsi="Avenir Next"/>
          <w:sz w:val="24"/>
          <w:szCs w:val="24"/>
        </w:rPr>
        <w:t>185.</w:t>
      </w:r>
      <w:r w:rsidRPr="003C75B5">
        <w:rPr>
          <w:rStyle w:val="s1"/>
          <w:rFonts w:ascii="Avenir Next" w:hAnsi="Avenir Next"/>
          <w:sz w:val="24"/>
          <w:szCs w:val="24"/>
        </w:rPr>
        <w:t>•</w:t>
      </w:r>
      <w:proofErr w:type="gramEnd"/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Impact on Heritage Assets:</w:t>
      </w:r>
      <w:r w:rsidRPr="003C75B5">
        <w:rPr>
          <w:rFonts w:ascii="Avenir Next" w:hAnsi="Avenir Next"/>
          <w:sz w:val="24"/>
          <w:szCs w:val="24"/>
        </w:rPr>
        <w:t xml:space="preserve"> The area contains the settings of 19 Grade II listed</w:t>
      </w:r>
    </w:p>
    <w:p w14:paraId="36368558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structures (including Ashley Hall). CELPS Policy SE 7 (The Historic Environment) and</w:t>
      </w:r>
    </w:p>
    <w:p w14:paraId="64A6605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Chapter 16 of the NPPF (Paragraphs 200–208) require that great weight be placed on</w:t>
      </w:r>
    </w:p>
    <w:p w14:paraId="5DCB3F4D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lastRenderedPageBreak/>
        <w:t>preserving designated heritage assets and their landscape settings.</w:t>
      </w:r>
    </w:p>
    <w:p w14:paraId="11770FC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5948484F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6. Hydrological, Drainage &amp; Utility Constraints</w:t>
      </w:r>
    </w:p>
    <w:p w14:paraId="450AE8A6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Surface Water &amp; Flood Risks:</w:t>
      </w:r>
      <w:r w:rsidRPr="003C75B5">
        <w:rPr>
          <w:rFonts w:ascii="Avenir Next" w:hAnsi="Avenir Next"/>
          <w:sz w:val="24"/>
          <w:szCs w:val="24"/>
        </w:rPr>
        <w:t xml:space="preserve"> The area lacks deep foul sewerage infrastructure, main</w:t>
      </w:r>
    </w:p>
    <w:p w14:paraId="4E8BFC00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electrical grid capacity, and adequate surface water drainage. Large-scale development</w:t>
      </w:r>
    </w:p>
    <w:p w14:paraId="6B4F61B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would significantly increase surface water flood risks within the River Bollin catchment,</w:t>
      </w:r>
    </w:p>
    <w:p w14:paraId="5F64A1E3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breaching CELPS Policy SE 13 (Flood Risk and Water Management) and NPPF Chapter</w:t>
      </w:r>
    </w:p>
    <w:p w14:paraId="32A37DC6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14 (Paragraphs 165–175).</w:t>
      </w:r>
    </w:p>
    <w:p w14:paraId="451CD585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Style w:val="s1"/>
          <w:rFonts w:ascii="Avenir Next" w:hAnsi="Avenir Next"/>
          <w:sz w:val="24"/>
          <w:szCs w:val="24"/>
        </w:rPr>
        <w:t>•</w:t>
      </w:r>
      <w:r w:rsidRPr="003C75B5">
        <w:rPr>
          <w:rStyle w:val="s2"/>
          <w:rFonts w:ascii="Avenir Next" w:hAnsi="Avenir Next"/>
          <w:sz w:val="24"/>
          <w:szCs w:val="24"/>
        </w:rPr>
        <w:t xml:space="preserve"> </w:t>
      </w:r>
      <w:r w:rsidRPr="003C75B5">
        <w:rPr>
          <w:rFonts w:ascii="Avenir Next" w:hAnsi="Avenir Next"/>
          <w:b/>
          <w:bCs/>
          <w:sz w:val="24"/>
          <w:szCs w:val="24"/>
        </w:rPr>
        <w:t>Utility Infrastructure Deficits:</w:t>
      </w:r>
      <w:r w:rsidRPr="003C75B5">
        <w:rPr>
          <w:rFonts w:ascii="Avenir Next" w:hAnsi="Avenir Next"/>
          <w:sz w:val="24"/>
          <w:szCs w:val="24"/>
        </w:rPr>
        <w:t xml:space="preserve"> Contrary to CELPS Policy IN 1 (Infrastructure),</w:t>
      </w:r>
    </w:p>
    <w:p w14:paraId="7E3818D1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candidate sites must prove that deliverable utility infrastructure can be supplied without</w:t>
      </w:r>
    </w:p>
    <w:p w14:paraId="491D1165" w14:textId="77777777" w:rsid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causing o</w:t>
      </w:r>
      <w:r w:rsidRPr="003C75B5">
        <w:rPr>
          <w:rFonts w:ascii="Cambria Math" w:hAnsi="Cambria Math" w:cs="Cambria Math"/>
          <w:sz w:val="24"/>
          <w:szCs w:val="24"/>
        </w:rPr>
        <w:t>ﬀ</w:t>
      </w:r>
      <w:r w:rsidRPr="003C75B5">
        <w:rPr>
          <w:rFonts w:ascii="Avenir Next" w:hAnsi="Avenir Next"/>
          <w:sz w:val="24"/>
          <w:szCs w:val="24"/>
        </w:rPr>
        <w:t>-site environmental degradation.</w:t>
      </w:r>
    </w:p>
    <w:p w14:paraId="6DE3E7A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</w:p>
    <w:p w14:paraId="7B31391D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b/>
          <w:bCs/>
          <w:sz w:val="24"/>
          <w:szCs w:val="24"/>
        </w:rPr>
        <w:t>Conclusion &amp; Formal Request</w:t>
      </w:r>
    </w:p>
    <w:p w14:paraId="2A68FD2E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This 291.03-hectare proposal (spanning 12 adjoining sites) fails to comply with virtually every</w:t>
      </w:r>
    </w:p>
    <w:p w14:paraId="18C599EA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major planning constraint metric. It contradicts the local spatial strategy, fails national Green Belt</w:t>
      </w:r>
    </w:p>
    <w:p w14:paraId="6FAE756E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tests, relies on inadequate transport and utility infrastructure, destroys high-grade agricultural</w:t>
      </w:r>
    </w:p>
    <w:p w14:paraId="12DBEB7C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proofErr w:type="gramStart"/>
      <w:r w:rsidRPr="003C75B5">
        <w:rPr>
          <w:rFonts w:ascii="Avenir Next" w:hAnsi="Avenir Next"/>
          <w:sz w:val="24"/>
          <w:szCs w:val="24"/>
        </w:rPr>
        <w:t>land, and</w:t>
      </w:r>
      <w:proofErr w:type="gramEnd"/>
      <w:r w:rsidRPr="003C75B5">
        <w:rPr>
          <w:rFonts w:ascii="Avenir Next" w:hAnsi="Avenir Next"/>
          <w:sz w:val="24"/>
          <w:szCs w:val="24"/>
        </w:rPr>
        <w:t xml:space="preserve"> causes severe harm to protected historic and natural landscapes.</w:t>
      </w:r>
    </w:p>
    <w:p w14:paraId="19E5A48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I formally request that Cheshire East Council classify all 12 submissions within this 291.03-</w:t>
      </w:r>
    </w:p>
    <w:p w14:paraId="19E59687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 xml:space="preserve">hectare site as </w:t>
      </w:r>
      <w:r w:rsidRPr="003C75B5">
        <w:rPr>
          <w:rFonts w:ascii="Avenir Next" w:hAnsi="Avenir Next"/>
          <w:b/>
          <w:bCs/>
          <w:sz w:val="24"/>
          <w:szCs w:val="24"/>
        </w:rPr>
        <w:t>Unsuitable, Unavailable, and Undeliverable</w:t>
      </w:r>
      <w:r w:rsidRPr="003C75B5">
        <w:rPr>
          <w:rFonts w:ascii="Avenir Next" w:hAnsi="Avenir Next"/>
          <w:sz w:val="24"/>
          <w:szCs w:val="24"/>
        </w:rPr>
        <w:t xml:space="preserve"> in the SHELAA assessment and</w:t>
      </w:r>
    </w:p>
    <w:p w14:paraId="17CC7776" w14:textId="77777777" w:rsidR="003C75B5" w:rsidRPr="003C75B5" w:rsidRDefault="003C75B5" w:rsidP="003C75B5">
      <w:pPr>
        <w:pStyle w:val="p1"/>
        <w:rPr>
          <w:rFonts w:ascii="Avenir Next" w:hAnsi="Avenir Next"/>
          <w:sz w:val="24"/>
          <w:szCs w:val="24"/>
        </w:rPr>
      </w:pPr>
      <w:r w:rsidRPr="003C75B5">
        <w:rPr>
          <w:rFonts w:ascii="Avenir Next" w:hAnsi="Avenir Next"/>
          <w:sz w:val="24"/>
          <w:szCs w:val="24"/>
        </w:rPr>
        <w:t>exclude them from future Local Plan allocations.</w:t>
      </w:r>
    </w:p>
    <w:p w14:paraId="0E37EDBF" w14:textId="77777777" w:rsidR="003C75B5" w:rsidRDefault="003C75B5">
      <w:pPr>
        <w:rPr>
          <w:rFonts w:ascii="Avenir Next" w:hAnsi="Avenir Next"/>
        </w:rPr>
      </w:pPr>
    </w:p>
    <w:p w14:paraId="0D2A8ABF" w14:textId="65D156C2" w:rsidR="003C75B5" w:rsidRDefault="003C75B5">
      <w:pPr>
        <w:rPr>
          <w:rFonts w:ascii="Avenir Next" w:hAnsi="Avenir Next"/>
        </w:rPr>
      </w:pPr>
      <w:r>
        <w:rPr>
          <w:rFonts w:ascii="Avenir Next" w:hAnsi="Avenir Next"/>
        </w:rPr>
        <w:t>Yours sincerely</w:t>
      </w:r>
    </w:p>
    <w:p w14:paraId="5F85D9ED" w14:textId="77777777" w:rsidR="003C75B5" w:rsidRDefault="003C75B5">
      <w:pPr>
        <w:rPr>
          <w:rFonts w:ascii="Avenir Next" w:hAnsi="Avenir Next"/>
        </w:rPr>
      </w:pPr>
    </w:p>
    <w:p w14:paraId="62E28717" w14:textId="7843C307" w:rsidR="003C75B5" w:rsidRPr="003C75B5" w:rsidRDefault="003C75B5">
      <w:pPr>
        <w:rPr>
          <w:rFonts w:ascii="Avenir Next" w:hAnsi="Avenir Next"/>
        </w:rPr>
      </w:pPr>
      <w:r>
        <w:rPr>
          <w:rFonts w:ascii="Avenir Next" w:hAnsi="Avenir Next"/>
        </w:rPr>
        <w:t>Sarah Driver</w:t>
      </w:r>
    </w:p>
    <w:sectPr w:rsidR="003C75B5" w:rsidRPr="003C7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B5"/>
    <w:rsid w:val="003C75B5"/>
    <w:rsid w:val="00CE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7A0FF8"/>
  <w15:chartTrackingRefBased/>
  <w15:docId w15:val="{61AB0EF0-E1D3-7B41-8376-10119F5E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5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5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5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5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5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5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5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5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5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5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5B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C75B5"/>
    <w:pPr>
      <w:spacing w:after="0" w:line="240" w:lineRule="auto"/>
    </w:pPr>
    <w:rPr>
      <w:rFonts w:ascii="Garamond" w:eastAsia="Times New Roman" w:hAnsi="Garamond" w:cs="Times New Roman"/>
      <w:color w:val="000000"/>
      <w:kern w:val="0"/>
      <w:sz w:val="18"/>
      <w:szCs w:val="18"/>
      <w:lang w:eastAsia="en-GB"/>
      <w14:ligatures w14:val="none"/>
    </w:rPr>
  </w:style>
  <w:style w:type="character" w:customStyle="1" w:styleId="s1">
    <w:name w:val="s1"/>
    <w:basedOn w:val="DefaultParagraphFont"/>
    <w:rsid w:val="003C75B5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3C75B5"/>
    <w:rPr>
      <w:rFonts w:ascii="Arial" w:hAnsi="Arial" w:cs="Arial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1015</Words>
  <Characters>6294</Characters>
  <Application>Microsoft Office Word</Application>
  <DocSecurity>0</DocSecurity>
  <Lines>96</Lines>
  <Paragraphs>110</Paragraphs>
  <ScaleCrop>false</ScaleCrop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driver</dc:creator>
  <cp:keywords/>
  <dc:description/>
  <cp:lastModifiedBy>sarah driver</cp:lastModifiedBy>
  <cp:revision>1</cp:revision>
  <dcterms:created xsi:type="dcterms:W3CDTF">2026-08-22T15:03:00Z</dcterms:created>
  <dcterms:modified xsi:type="dcterms:W3CDTF">2026-08-22T15:05:00Z</dcterms:modified>
</cp:coreProperties>
</file>